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Lineamientos del Equipo Administrativo</w:t>
      </w:r>
    </w:p>
    <w:p>
      <w:pPr>
        <w:spacing w:before="120" w:after="120" w:line="300" w:lineRule="auto"/>
        <w:jc w:val="center"/>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Dirección General · 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es preferible confirmar un dato que comunicar información incorrecta.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Los contactos no se bloquean ni se restringen de forma arbitraria: cualquier medida de ese tipo responde a un motivo legítimo, como amenazas, acoso o fraude, se documenta y se comunica a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relaciones entre compañeras, compañeros, jefaturas, Dirección y profesionales se desarrollan con respeto, también en ausencia de las personas y aun cuando existan diferencias de criterio. Las observaciones y los desacuerdos se expresan de manera profesional, sin perjuicio del derecho a reclamar o acudir a las autoridades competentes.</w:t>
      </w:r>
    </w:p>
    <w:p>
      <w:pPr>
        <w:pStyle w:val="ListBullet"/>
        <w:spacing w:before="0" w:after="60" w:line="300" w:lineRule="auto"/>
      </w:pPr>
      <w:r>
        <w:rPr>
          <w:rFonts w:ascii="Georgia" w:hAnsi="Georgia"/>
          <w:b w:val="0"/>
          <w:color w:val="2F2E47"/>
          <w:sz w:val="21"/>
        </w:rPr>
        <w:t>Las decisiones sobre la incorporación, la organización y la continuidad de las relaciones laborales y profesionales corresponden a las personas u órganos facultados, conforme a los contratos y a la ley.</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Toda persona puede solicitar asesoramiento y acudir a las autoridades competentes, sin represalias por el ejercicio legítimo de sus derechos.</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 salvo comunicaciones autorizadas por la ley o requerimientos de autoridad competente.</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0" w:after="120" w:line="300" w:lineRule="auto"/>
      </w:pPr>
      <w:r>
        <w:rPr>
          <w:rFonts w:ascii="Georgia" w:hAnsi="Georgia"/>
          <w:b w:val="0"/>
          <w:color w:val="2F2E47"/>
          <w:sz w:val="21"/>
        </w:rPr>
        <w:t>Las consultas sobre la colilla, las deducciones y demás aspectos individuales del salario se atienden directamente y en privado.</w:t>
      </w:r>
    </w:p>
    <w:p>
      <w:pPr>
        <w:spacing w:before="280" w:after="120" w:line="300" w:lineRule="auto"/>
        <w:pBdr>
          <w:bottom w:val="single" w:sz="6" w:space="4" w:color="D1D0CB"/>
        </w:pBdr>
      </w:pPr>
      <w:r>
        <w:rPr>
          <w:rFonts w:ascii="Safira March" w:hAnsi="Safira March"/>
          <w:color w:val="131237"/>
          <w:sz w:val="28"/>
        </w:rPr>
        <w:t>5. Responsabilidad y cumplimiento</w:t>
      </w:r>
    </w:p>
    <w:p>
      <w:pPr>
        <w:spacing w:before="0" w:after="120" w:line="300" w:lineRule="auto"/>
      </w:pPr>
      <w:r>
        <w:rPr>
          <w:rFonts w:ascii="Georgia" w:hAnsi="Georgia"/>
          <w:b w:val="0"/>
          <w:color w:val="2F2E47"/>
          <w:sz w:val="21"/>
        </w:rPr>
        <w:t>El cumplimiento responsable de nuestras funciones y protocolos sostiene la calidad de la atención y el bienestar del equipo.</w:t>
      </w:r>
    </w:p>
    <w:p>
      <w:pPr>
        <w:spacing w:before="0" w:after="120" w:line="300" w:lineRule="auto"/>
      </w:pPr>
      <w:r>
        <w:rPr>
          <w:rFonts w:ascii="Georgia" w:hAnsi="Georgia"/>
          <w:b w:val="0"/>
          <w:color w:val="2F2E47"/>
          <w:sz w:val="21"/>
        </w:rPr>
        <w:t>Cuando surjan dificultades o posibles incumplimientos, cada situación se valora de manera objetiva, documentada y proporcional, según su naturaleza, gravedad, circunstancias y antecedentes. Se escucha la versión de la persona y, cuando corresponda, se aplican medidas correctivas o disciplinarias conforme a la legislación laboral. La terminación del contrato sin responsabilidad patronal procede únicamente cuando existe una causa legal debidamente acreditada y se cumplen los requisitos aplicables.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por sí mismos,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prevenir dificultades y resolverlas a tiempo, con diálogo y respeto mutuo.</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pPr>
        <w:spacing w:before="0" w:after="120" w:line="300" w:lineRule="auto"/>
      </w:pPr>
      <w:r>
        <w:rPr>
          <w:rFonts w:ascii="Georgia" w:hAnsi="Georgia"/>
          <w:b w:val="0"/>
          <w:color w:val="2F2E47"/>
          <w:sz w:val="21"/>
        </w:rPr>
        <w:t>Dirección General · Grupo Poïesis</w:t>
      </w:r>
    </w:p>
    <w:p>
      <w:pPr>
        <w:spacing w:before="0" w:after="120" w:line="300" w:lineRule="auto"/>
      </w:pPr>
      <w:r>
        <w:rPr>
          <w:rFonts w:ascii="Georgia" w:hAnsi="Georgia"/>
          <w:b w:val="0"/>
          <w:color w:val="2F2E47"/>
          <w:sz w:val="21"/>
        </w:rPr>
        <w:t>Revisión jurídica: Fressy Mora Peñaranda · Asesoría Legal</w:t>
      </w:r>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