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DDB931" w14:textId="77777777" w:rsidR="007324FA" w:rsidRPr="003D1568" w:rsidRDefault="00000000">
      <w:pPr>
        <w:spacing w:after="60" w:line="300" w:lineRule="auto"/>
        <w:jc w:val="center"/>
        <w:rPr>
          <w:sz w:val="21"/>
          <w:szCs w:val="21"/>
        </w:rPr>
      </w:pPr>
      <w:r w:rsidRPr="003D1568">
        <w:rPr>
          <w:rFonts w:ascii="Georgia" w:eastAsia="Georgia" w:hAnsi="Georgia" w:cs="Georgia"/>
          <w:b/>
          <w:bCs/>
          <w:sz w:val="32"/>
          <w:szCs w:val="32"/>
        </w:rPr>
        <w:t>POÏESIS</w:t>
      </w:r>
    </w:p>
    <w:p w14:paraId="6E167F37" w14:textId="77777777" w:rsidR="007324FA" w:rsidRPr="003D1568" w:rsidRDefault="00000000">
      <w:pPr>
        <w:spacing w:after="300" w:line="300" w:lineRule="auto"/>
        <w:jc w:val="center"/>
        <w:rPr>
          <w:sz w:val="21"/>
          <w:szCs w:val="21"/>
        </w:rPr>
      </w:pPr>
      <w:r w:rsidRPr="003D1568">
        <w:rPr>
          <w:rFonts w:ascii="Georgia" w:eastAsia="Georgia" w:hAnsi="Georgia" w:cs="Georgia"/>
          <w:i/>
          <w:iCs/>
          <w:sz w:val="24"/>
          <w:szCs w:val="24"/>
        </w:rPr>
        <w:t>Clínica Integral de Psicología y Psicoanálisis</w:t>
      </w:r>
    </w:p>
    <w:tbl>
      <w:tblPr>
        <w:tblW w:w="10200" w:type="dxa"/>
        <w:tblBorders>
          <w:top w:val="single" w:sz="4" w:space="0" w:color="5C6684"/>
          <w:left w:val="single" w:sz="4" w:space="0" w:color="5C6684"/>
          <w:bottom w:val="single" w:sz="4" w:space="0" w:color="5C6684"/>
          <w:right w:val="single" w:sz="4" w:space="0" w:color="5C6684"/>
          <w:insideH w:val="single" w:sz="2" w:space="0" w:color="D1D0CB"/>
          <w:insideV w:val="single" w:sz="2" w:space="0" w:color="D1D0CB"/>
        </w:tblBorders>
        <w:tblCellMar>
          <w:left w:w="10" w:type="dxa"/>
          <w:right w:w="10" w:type="dxa"/>
        </w:tblCellMar>
        <w:tblLook w:val="04A0" w:firstRow="1" w:lastRow="0" w:firstColumn="1" w:lastColumn="0" w:noHBand="0" w:noVBand="1"/>
      </w:tblPr>
      <w:tblGrid>
        <w:gridCol w:w="2600"/>
        <w:gridCol w:w="7600"/>
      </w:tblGrid>
      <w:tr w:rsidR="007324FA" w:rsidRPr="003D1568" w14:paraId="6E096925" w14:textId="77777777">
        <w:tblPrEx>
          <w:tblCellMar>
            <w:top w:w="0" w:type="dxa"/>
            <w:bottom w:w="0" w:type="dxa"/>
          </w:tblCellMar>
        </w:tblPrEx>
        <w:tc>
          <w:tcPr>
            <w:tcW w:w="2600" w:type="dxa"/>
            <w:shd w:val="clear" w:color="auto" w:fill="F4F4F2"/>
            <w:tcMar>
              <w:top w:w="60" w:type="dxa"/>
              <w:left w:w="80" w:type="dxa"/>
              <w:bottom w:w="60" w:type="dxa"/>
              <w:right w:w="80" w:type="dxa"/>
            </w:tcMar>
            <w:vAlign w:val="center"/>
          </w:tcPr>
          <w:p w14:paraId="701B48E7" w14:textId="77777777" w:rsidR="007324FA" w:rsidRPr="003D1568" w:rsidRDefault="00000000">
            <w:pPr>
              <w:spacing w:line="260" w:lineRule="auto"/>
              <w:rPr>
                <w:sz w:val="21"/>
                <w:szCs w:val="21"/>
              </w:rPr>
            </w:pPr>
            <w:r w:rsidRPr="003D1568">
              <w:rPr>
                <w:rFonts w:ascii="Georgia" w:eastAsia="Georgia" w:hAnsi="Georgia" w:cs="Georgia"/>
                <w:b/>
                <w:bCs/>
                <w:sz w:val="21"/>
                <w:szCs w:val="21"/>
              </w:rPr>
              <w:t>Expediente N.°</w:t>
            </w:r>
          </w:p>
        </w:tc>
        <w:tc>
          <w:tcPr>
            <w:tcW w:w="7600" w:type="dxa"/>
            <w:tcMar>
              <w:top w:w="60" w:type="dxa"/>
              <w:left w:w="80" w:type="dxa"/>
              <w:bottom w:w="60" w:type="dxa"/>
              <w:right w:w="80" w:type="dxa"/>
            </w:tcMar>
            <w:vAlign w:val="center"/>
          </w:tcPr>
          <w:p w14:paraId="61C8C3B9" w14:textId="77777777" w:rsidR="007324FA" w:rsidRPr="003D1568" w:rsidRDefault="00000000">
            <w:pPr>
              <w:spacing w:line="260" w:lineRule="auto"/>
              <w:rPr>
                <w:sz w:val="21"/>
                <w:szCs w:val="21"/>
              </w:rPr>
            </w:pPr>
            <w:r w:rsidRPr="003D1568">
              <w:rPr>
                <w:rFonts w:ascii="Georgia" w:eastAsia="Georgia" w:hAnsi="Georgia" w:cs="Georgia"/>
                <w:sz w:val="21"/>
                <w:szCs w:val="21"/>
              </w:rPr>
              <w:t>26-024427-0007-CO</w:t>
            </w:r>
          </w:p>
        </w:tc>
      </w:tr>
      <w:tr w:rsidR="007324FA" w:rsidRPr="003D1568" w14:paraId="2785EB7A" w14:textId="77777777">
        <w:tblPrEx>
          <w:tblCellMar>
            <w:top w:w="0" w:type="dxa"/>
            <w:bottom w:w="0" w:type="dxa"/>
          </w:tblCellMar>
        </w:tblPrEx>
        <w:tc>
          <w:tcPr>
            <w:tcW w:w="2600" w:type="dxa"/>
            <w:shd w:val="clear" w:color="auto" w:fill="F4F4F2"/>
            <w:tcMar>
              <w:top w:w="60" w:type="dxa"/>
              <w:left w:w="80" w:type="dxa"/>
              <w:bottom w:w="60" w:type="dxa"/>
              <w:right w:w="80" w:type="dxa"/>
            </w:tcMar>
            <w:vAlign w:val="center"/>
          </w:tcPr>
          <w:p w14:paraId="7A13A194" w14:textId="77777777" w:rsidR="007324FA" w:rsidRPr="003D1568" w:rsidRDefault="00000000">
            <w:pPr>
              <w:spacing w:line="260" w:lineRule="auto"/>
              <w:rPr>
                <w:sz w:val="21"/>
                <w:szCs w:val="21"/>
              </w:rPr>
            </w:pPr>
            <w:r w:rsidRPr="003D1568">
              <w:rPr>
                <w:rFonts w:ascii="Georgia" w:eastAsia="Georgia" w:hAnsi="Georgia" w:cs="Georgia"/>
                <w:b/>
                <w:bCs/>
                <w:sz w:val="21"/>
                <w:szCs w:val="21"/>
              </w:rPr>
              <w:t>Proceso</w:t>
            </w:r>
          </w:p>
        </w:tc>
        <w:tc>
          <w:tcPr>
            <w:tcW w:w="7600" w:type="dxa"/>
            <w:tcMar>
              <w:top w:w="60" w:type="dxa"/>
              <w:left w:w="80" w:type="dxa"/>
              <w:bottom w:w="60" w:type="dxa"/>
              <w:right w:w="80" w:type="dxa"/>
            </w:tcMar>
            <w:vAlign w:val="center"/>
          </w:tcPr>
          <w:p w14:paraId="5E2AB59B" w14:textId="77777777" w:rsidR="007324FA" w:rsidRPr="003D1568" w:rsidRDefault="00000000">
            <w:pPr>
              <w:spacing w:line="260" w:lineRule="auto"/>
              <w:rPr>
                <w:sz w:val="21"/>
                <w:szCs w:val="21"/>
              </w:rPr>
            </w:pPr>
            <w:r w:rsidRPr="003D1568">
              <w:rPr>
                <w:rFonts w:ascii="Georgia" w:eastAsia="Georgia" w:hAnsi="Georgia" w:cs="Georgia"/>
                <w:sz w:val="21"/>
                <w:szCs w:val="21"/>
              </w:rPr>
              <w:t>Recurso de Amparo</w:t>
            </w:r>
          </w:p>
        </w:tc>
      </w:tr>
      <w:tr w:rsidR="007324FA" w:rsidRPr="003D1568" w14:paraId="777771C3" w14:textId="77777777">
        <w:tblPrEx>
          <w:tblCellMar>
            <w:top w:w="0" w:type="dxa"/>
            <w:bottom w:w="0" w:type="dxa"/>
          </w:tblCellMar>
        </w:tblPrEx>
        <w:tc>
          <w:tcPr>
            <w:tcW w:w="2600" w:type="dxa"/>
            <w:shd w:val="clear" w:color="auto" w:fill="F4F4F2"/>
            <w:tcMar>
              <w:top w:w="60" w:type="dxa"/>
              <w:left w:w="80" w:type="dxa"/>
              <w:bottom w:w="60" w:type="dxa"/>
              <w:right w:w="80" w:type="dxa"/>
            </w:tcMar>
            <w:vAlign w:val="center"/>
          </w:tcPr>
          <w:p w14:paraId="57A77DF0" w14:textId="77777777" w:rsidR="007324FA" w:rsidRPr="003D1568" w:rsidRDefault="00000000">
            <w:pPr>
              <w:spacing w:line="260" w:lineRule="auto"/>
              <w:rPr>
                <w:sz w:val="21"/>
                <w:szCs w:val="21"/>
              </w:rPr>
            </w:pPr>
            <w:r w:rsidRPr="003D1568">
              <w:rPr>
                <w:rFonts w:ascii="Georgia" w:eastAsia="Georgia" w:hAnsi="Georgia" w:cs="Georgia"/>
                <w:b/>
                <w:bCs/>
                <w:sz w:val="21"/>
                <w:szCs w:val="21"/>
              </w:rPr>
              <w:t>Recurrente</w:t>
            </w:r>
          </w:p>
        </w:tc>
        <w:tc>
          <w:tcPr>
            <w:tcW w:w="7600" w:type="dxa"/>
            <w:tcMar>
              <w:top w:w="60" w:type="dxa"/>
              <w:left w:w="80" w:type="dxa"/>
              <w:bottom w:w="60" w:type="dxa"/>
              <w:right w:w="80" w:type="dxa"/>
            </w:tcMar>
            <w:vAlign w:val="center"/>
          </w:tcPr>
          <w:p w14:paraId="4F973920" w14:textId="77777777" w:rsidR="007324FA" w:rsidRPr="003D1568" w:rsidRDefault="00000000">
            <w:pPr>
              <w:spacing w:line="260" w:lineRule="auto"/>
              <w:rPr>
                <w:sz w:val="21"/>
                <w:szCs w:val="21"/>
              </w:rPr>
            </w:pPr>
            <w:r w:rsidRPr="003D1568">
              <w:rPr>
                <w:rFonts w:ascii="Georgia" w:eastAsia="Georgia" w:hAnsi="Georgia" w:cs="Georgia"/>
                <w:sz w:val="21"/>
                <w:szCs w:val="21"/>
              </w:rPr>
              <w:t>Dr. Carlos Fernando Bonilla Cortés (P.Sc., L.P.)</w:t>
            </w:r>
          </w:p>
        </w:tc>
      </w:tr>
      <w:tr w:rsidR="007324FA" w:rsidRPr="003D1568" w14:paraId="0FFC46DC" w14:textId="77777777">
        <w:tblPrEx>
          <w:tblCellMar>
            <w:top w:w="0" w:type="dxa"/>
            <w:bottom w:w="0" w:type="dxa"/>
          </w:tblCellMar>
        </w:tblPrEx>
        <w:tc>
          <w:tcPr>
            <w:tcW w:w="2600" w:type="dxa"/>
            <w:shd w:val="clear" w:color="auto" w:fill="F4F4F2"/>
            <w:tcMar>
              <w:top w:w="60" w:type="dxa"/>
              <w:left w:w="80" w:type="dxa"/>
              <w:bottom w:w="60" w:type="dxa"/>
              <w:right w:w="80" w:type="dxa"/>
            </w:tcMar>
            <w:vAlign w:val="center"/>
          </w:tcPr>
          <w:p w14:paraId="3C5450AF" w14:textId="77777777" w:rsidR="007324FA" w:rsidRPr="003D1568" w:rsidRDefault="00000000">
            <w:pPr>
              <w:spacing w:line="260" w:lineRule="auto"/>
              <w:rPr>
                <w:sz w:val="21"/>
                <w:szCs w:val="21"/>
              </w:rPr>
            </w:pPr>
            <w:r w:rsidRPr="003D1568">
              <w:rPr>
                <w:rFonts w:ascii="Georgia" w:eastAsia="Georgia" w:hAnsi="Georgia" w:cs="Georgia"/>
                <w:b/>
                <w:bCs/>
                <w:sz w:val="21"/>
                <w:szCs w:val="21"/>
              </w:rPr>
              <w:t>Sentencia</w:t>
            </w:r>
          </w:p>
        </w:tc>
        <w:tc>
          <w:tcPr>
            <w:tcW w:w="7600" w:type="dxa"/>
            <w:tcMar>
              <w:top w:w="60" w:type="dxa"/>
              <w:left w:w="80" w:type="dxa"/>
              <w:bottom w:w="60" w:type="dxa"/>
              <w:right w:w="80" w:type="dxa"/>
            </w:tcMar>
            <w:vAlign w:val="center"/>
          </w:tcPr>
          <w:p w14:paraId="09A81362" w14:textId="77777777" w:rsidR="007324FA" w:rsidRPr="003D1568" w:rsidRDefault="00000000">
            <w:pPr>
              <w:spacing w:line="260" w:lineRule="auto"/>
              <w:rPr>
                <w:sz w:val="21"/>
                <w:szCs w:val="21"/>
              </w:rPr>
            </w:pPr>
            <w:r w:rsidRPr="003D1568">
              <w:rPr>
                <w:rFonts w:ascii="Georgia" w:eastAsia="Georgia" w:hAnsi="Georgia" w:cs="Georgia"/>
                <w:sz w:val="21"/>
                <w:szCs w:val="21"/>
              </w:rPr>
              <w:t>N.° 2026-033012 de las nueve horas cuarenta minutos del 27 de agosto de 2026</w:t>
            </w:r>
          </w:p>
        </w:tc>
      </w:tr>
      <w:tr w:rsidR="007324FA" w:rsidRPr="003D1568" w14:paraId="30A4D546" w14:textId="77777777">
        <w:tblPrEx>
          <w:tblCellMar>
            <w:top w:w="0" w:type="dxa"/>
            <w:bottom w:w="0" w:type="dxa"/>
          </w:tblCellMar>
        </w:tblPrEx>
        <w:tc>
          <w:tcPr>
            <w:tcW w:w="2600" w:type="dxa"/>
            <w:shd w:val="clear" w:color="auto" w:fill="F4F4F2"/>
            <w:tcMar>
              <w:top w:w="60" w:type="dxa"/>
              <w:left w:w="80" w:type="dxa"/>
              <w:bottom w:w="60" w:type="dxa"/>
              <w:right w:w="80" w:type="dxa"/>
            </w:tcMar>
            <w:vAlign w:val="center"/>
          </w:tcPr>
          <w:p w14:paraId="5C37187F" w14:textId="77777777" w:rsidR="007324FA" w:rsidRPr="003D1568" w:rsidRDefault="00000000">
            <w:pPr>
              <w:spacing w:line="260" w:lineRule="auto"/>
              <w:rPr>
                <w:sz w:val="21"/>
                <w:szCs w:val="21"/>
              </w:rPr>
            </w:pPr>
            <w:r w:rsidRPr="003D1568">
              <w:rPr>
                <w:rFonts w:ascii="Georgia" w:eastAsia="Georgia" w:hAnsi="Georgia" w:cs="Georgia"/>
                <w:b/>
                <w:bCs/>
                <w:sz w:val="21"/>
                <w:szCs w:val="21"/>
              </w:rPr>
              <w:t>Gestión</w:t>
            </w:r>
          </w:p>
        </w:tc>
        <w:tc>
          <w:tcPr>
            <w:tcW w:w="7600" w:type="dxa"/>
            <w:tcMar>
              <w:top w:w="60" w:type="dxa"/>
              <w:left w:w="80" w:type="dxa"/>
              <w:bottom w:w="60" w:type="dxa"/>
              <w:right w:w="80" w:type="dxa"/>
            </w:tcMar>
            <w:vAlign w:val="center"/>
          </w:tcPr>
          <w:p w14:paraId="48B3B147" w14:textId="77777777" w:rsidR="007324FA" w:rsidRPr="003D1568" w:rsidRDefault="00000000">
            <w:pPr>
              <w:spacing w:line="260" w:lineRule="auto"/>
              <w:rPr>
                <w:sz w:val="21"/>
                <w:szCs w:val="21"/>
              </w:rPr>
            </w:pPr>
            <w:r w:rsidRPr="003D1568">
              <w:rPr>
                <w:rFonts w:ascii="Georgia" w:eastAsia="Georgia" w:hAnsi="Georgia" w:cs="Georgia"/>
                <w:sz w:val="21"/>
                <w:szCs w:val="21"/>
              </w:rPr>
              <w:t>Adición y aclaración (artículo 12 de la Ley de la Jurisdicción Constitucional)</w:t>
            </w:r>
          </w:p>
        </w:tc>
      </w:tr>
    </w:tbl>
    <w:p w14:paraId="3E96A829" w14:textId="77777777" w:rsidR="007324FA" w:rsidRPr="003D1568" w:rsidRDefault="007324FA">
      <w:pPr>
        <w:spacing w:after="200" w:line="300" w:lineRule="auto"/>
        <w:jc w:val="both"/>
        <w:rPr>
          <w:sz w:val="21"/>
          <w:szCs w:val="21"/>
        </w:rPr>
      </w:pPr>
    </w:p>
    <w:p w14:paraId="34BDFC8B" w14:textId="77777777" w:rsidR="007324FA" w:rsidRPr="003D1568" w:rsidRDefault="00000000">
      <w:pPr>
        <w:spacing w:after="300" w:line="300" w:lineRule="auto"/>
        <w:jc w:val="center"/>
        <w:rPr>
          <w:sz w:val="21"/>
          <w:szCs w:val="21"/>
        </w:rPr>
      </w:pPr>
      <w:r w:rsidRPr="003D1568">
        <w:rPr>
          <w:rFonts w:ascii="Georgia" w:eastAsia="Georgia" w:hAnsi="Georgia" w:cs="Georgia"/>
          <w:b/>
          <w:bCs/>
          <w:sz w:val="28"/>
          <w:szCs w:val="28"/>
        </w:rPr>
        <w:t>GESTIÓN DE ADICIÓN Y ACLARACIÓN</w:t>
      </w:r>
    </w:p>
    <w:p w14:paraId="778E3D8E" w14:textId="77777777" w:rsidR="007324FA" w:rsidRPr="003D1568" w:rsidRDefault="00000000">
      <w:pPr>
        <w:spacing w:after="300" w:line="300" w:lineRule="auto"/>
        <w:jc w:val="both"/>
        <w:rPr>
          <w:sz w:val="21"/>
          <w:szCs w:val="21"/>
        </w:rPr>
      </w:pPr>
      <w:r w:rsidRPr="003D1568">
        <w:rPr>
          <w:rFonts w:ascii="Georgia" w:eastAsia="Georgia" w:hAnsi="Georgia" w:cs="Georgia"/>
          <w:b/>
          <w:bCs/>
          <w:sz w:val="24"/>
          <w:szCs w:val="24"/>
        </w:rPr>
        <w:t>Honorable Sala Constitucional de la Corte Suprema de Justicia</w:t>
      </w:r>
    </w:p>
    <w:p w14:paraId="26DC615B" w14:textId="77777777" w:rsidR="007324FA" w:rsidRPr="003D1568" w:rsidRDefault="00000000">
      <w:pPr>
        <w:spacing w:after="200" w:line="300" w:lineRule="auto"/>
        <w:jc w:val="both"/>
        <w:rPr>
          <w:sz w:val="21"/>
          <w:szCs w:val="21"/>
        </w:rPr>
      </w:pPr>
      <w:r w:rsidRPr="003D1568">
        <w:rPr>
          <w:rFonts w:ascii="Georgia" w:eastAsia="Georgia" w:hAnsi="Georgia" w:cs="Georgia"/>
          <w:sz w:val="24"/>
          <w:szCs w:val="24"/>
        </w:rPr>
        <w:t>Quien suscribe, CARLOS FERNANDO BONILLA CORTÉS, mayor, cédula 1-1068-0862, en mi doble condición de recurrente a mi favor y en la de la Clínica Integral de Psicología y Psicoanálisis Grupo Poïesis, cédula jurídica N.° 3-101-746424, dentro del plazo previsto en el artículo 12 de la Ley de la Jurisdicción Constitucional, con el debido respeto formulo GESTIÓN DE ADICIÓN Y ACLARACIÓN respecto de la sentencia de la referencia.</w:t>
      </w:r>
    </w:p>
    <w:p w14:paraId="6F8FA1C5"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PRIMERO. </w:t>
      </w:r>
      <w:r w:rsidRPr="003D1568">
        <w:rPr>
          <w:rFonts w:ascii="Georgia" w:eastAsia="Georgia" w:hAnsi="Georgia" w:cs="Georgia"/>
          <w:sz w:val="24"/>
          <w:szCs w:val="24"/>
        </w:rPr>
        <w:t>Esta gestión no pretende modificar lo resuelto ni reabrir el examen de fondo. Se limita a tres puntos: un deber razonado en la sentencia que no fue trasladado a la parte dispositiva, una precisión sobre el alcance de un hecho declarado no probado, y una pretensión del escrito inicial que se estima resuelta en términos distintos de los planteados. Se agradece de antemano la atención que la Sala estime prestarles.</w:t>
      </w:r>
    </w:p>
    <w:p w14:paraId="743DE7DE" w14:textId="77777777" w:rsidR="007324FA" w:rsidRPr="003D1568" w:rsidRDefault="00000000">
      <w:pPr>
        <w:keepNext/>
        <w:spacing w:after="160" w:line="300" w:lineRule="auto"/>
        <w:jc w:val="both"/>
        <w:rPr>
          <w:sz w:val="21"/>
          <w:szCs w:val="21"/>
        </w:rPr>
      </w:pPr>
      <w:r w:rsidRPr="003D1568">
        <w:rPr>
          <w:rFonts w:ascii="Georgia" w:eastAsia="Georgia" w:hAnsi="Georgia" w:cs="Georgia"/>
          <w:b/>
          <w:bCs/>
          <w:sz w:val="28"/>
          <w:szCs w:val="28"/>
        </w:rPr>
        <w:t>I. ADICIÓN: EL DEBER PRECISADO EN EL CONSIDERANDO VII</w:t>
      </w:r>
    </w:p>
    <w:p w14:paraId="05F51FAC" w14:textId="77777777" w:rsidR="007324FA" w:rsidRPr="003D1568" w:rsidRDefault="00000000">
      <w:pPr>
        <w:spacing w:after="120" w:line="300" w:lineRule="auto"/>
        <w:jc w:val="both"/>
        <w:rPr>
          <w:sz w:val="21"/>
          <w:szCs w:val="21"/>
        </w:rPr>
      </w:pPr>
      <w:r w:rsidRPr="003D1568">
        <w:rPr>
          <w:rFonts w:ascii="Georgia" w:eastAsia="Georgia" w:hAnsi="Georgia" w:cs="Georgia"/>
          <w:b/>
          <w:bCs/>
          <w:sz w:val="24"/>
          <w:szCs w:val="24"/>
        </w:rPr>
        <w:t xml:space="preserve">SEGUNDO. </w:t>
      </w:r>
      <w:r w:rsidRPr="003D1568">
        <w:rPr>
          <w:rFonts w:ascii="Georgia" w:eastAsia="Georgia" w:hAnsi="Georgia" w:cs="Georgia"/>
          <w:sz w:val="24"/>
          <w:szCs w:val="24"/>
        </w:rPr>
        <w:t>El Considerando VII de la sentencia consigna:</w:t>
      </w:r>
    </w:p>
    <w:p w14:paraId="27CCABE1" w14:textId="77777777" w:rsidR="007324FA" w:rsidRPr="003D1568" w:rsidRDefault="00000000">
      <w:pPr>
        <w:spacing w:before="80" w:after="200" w:line="300" w:lineRule="auto"/>
        <w:ind w:left="720" w:right="400"/>
        <w:jc w:val="both"/>
        <w:rPr>
          <w:sz w:val="21"/>
          <w:szCs w:val="21"/>
        </w:rPr>
      </w:pPr>
      <w:r w:rsidRPr="003D1568">
        <w:rPr>
          <w:rFonts w:ascii="Georgia" w:eastAsia="Georgia" w:hAnsi="Georgia" w:cs="Georgia"/>
          <w:i/>
          <w:iCs/>
          <w:sz w:val="21"/>
          <w:szCs w:val="21"/>
        </w:rPr>
        <w:t>“Tampoco corresponde ordenar una nueva supresión, ya ejecutada, sin perjuicio del deber del Colegio de mantener disponible únicamente la versión corregida y de no presentar como conclusión institucional una responsabilidad que no haya sido declarada por el órgano competente mediante resolución firme.”</w:t>
      </w:r>
    </w:p>
    <w:p w14:paraId="71EA9886"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TERCERO. </w:t>
      </w:r>
      <w:r w:rsidRPr="003D1568">
        <w:rPr>
          <w:rFonts w:ascii="Georgia" w:eastAsia="Georgia" w:hAnsi="Georgia" w:cs="Georgia"/>
          <w:sz w:val="24"/>
          <w:szCs w:val="24"/>
        </w:rPr>
        <w:t>Ese deber quedó expresado en la fundamentación, pero no fue recogido en la parte dispositiva. Dado que la propia sentencia establece que la lesión consistió en la permanencia pública de la versión original, y que la corrección se ejecutó durante la tramitación del amparo, se somete a consideración de la Sala si convendría que ese deber conste también en el Por Tanto, a efectos de su eficacia y eventual cumplimiento.</w:t>
      </w:r>
    </w:p>
    <w:p w14:paraId="4FEA38F3"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lastRenderedPageBreak/>
        <w:t xml:space="preserve">CUARTO. </w:t>
      </w:r>
      <w:r w:rsidRPr="003D1568">
        <w:rPr>
          <w:rFonts w:ascii="Georgia" w:eastAsia="Georgia" w:hAnsi="Georgia" w:cs="Georgia"/>
          <w:sz w:val="24"/>
          <w:szCs w:val="24"/>
        </w:rPr>
        <w:t>No se solicita una orden nueva ni distinta de la ya razonada, sino la incorporación al fallo del deber que la Sala precisó en sus consideraciones.</w:t>
      </w:r>
    </w:p>
    <w:p w14:paraId="6797AE3F" w14:textId="77777777" w:rsidR="007324FA" w:rsidRPr="003D1568" w:rsidRDefault="00000000">
      <w:pPr>
        <w:keepNext/>
        <w:spacing w:after="160" w:line="300" w:lineRule="auto"/>
        <w:jc w:val="both"/>
        <w:rPr>
          <w:sz w:val="21"/>
          <w:szCs w:val="21"/>
        </w:rPr>
      </w:pPr>
      <w:r w:rsidRPr="003D1568">
        <w:rPr>
          <w:rFonts w:ascii="Georgia" w:eastAsia="Georgia" w:hAnsi="Georgia" w:cs="Georgia"/>
          <w:b/>
          <w:bCs/>
          <w:sz w:val="28"/>
          <w:szCs w:val="28"/>
        </w:rPr>
        <w:t>II. ACLARACIÓN: ALCANCE DEL HECHO NO PROBADO (a)</w:t>
      </w:r>
    </w:p>
    <w:p w14:paraId="41049D46" w14:textId="77777777" w:rsidR="007324FA" w:rsidRPr="003D1568" w:rsidRDefault="00000000">
      <w:pPr>
        <w:spacing w:after="120" w:line="300" w:lineRule="auto"/>
        <w:jc w:val="both"/>
        <w:rPr>
          <w:sz w:val="21"/>
          <w:szCs w:val="21"/>
        </w:rPr>
      </w:pPr>
      <w:r w:rsidRPr="003D1568">
        <w:rPr>
          <w:rFonts w:ascii="Georgia" w:eastAsia="Georgia" w:hAnsi="Georgia" w:cs="Georgia"/>
          <w:b/>
          <w:bCs/>
          <w:sz w:val="24"/>
          <w:szCs w:val="24"/>
        </w:rPr>
        <w:t xml:space="preserve">QUINTO. </w:t>
      </w:r>
      <w:r w:rsidRPr="003D1568">
        <w:rPr>
          <w:rFonts w:ascii="Georgia" w:eastAsia="Georgia" w:hAnsi="Georgia" w:cs="Georgia"/>
          <w:sz w:val="24"/>
          <w:szCs w:val="24"/>
        </w:rPr>
        <w:t>El apartado III de la sentencia declara no probado:</w:t>
      </w:r>
    </w:p>
    <w:p w14:paraId="69125FF8" w14:textId="77777777" w:rsidR="007324FA" w:rsidRPr="003D1568" w:rsidRDefault="00000000">
      <w:pPr>
        <w:spacing w:before="80" w:after="200" w:line="300" w:lineRule="auto"/>
        <w:ind w:left="720" w:right="400"/>
        <w:jc w:val="both"/>
        <w:rPr>
          <w:sz w:val="21"/>
          <w:szCs w:val="21"/>
        </w:rPr>
      </w:pPr>
      <w:r w:rsidRPr="003D1568">
        <w:rPr>
          <w:rFonts w:ascii="Georgia" w:eastAsia="Georgia" w:hAnsi="Georgia" w:cs="Georgia"/>
          <w:i/>
          <w:iCs/>
          <w:sz w:val="21"/>
          <w:szCs w:val="21"/>
        </w:rPr>
        <w:t>“a) Que la Junta Directiva, el Tribunal de Honor o la Fiscalía del Colegio recurrido hayan sustraído, eliminado, alterado, retenido, divulgado o mantengan bajo su custodia los expedientes clínicos cuya protección reclama la parte recurrente.”</w:t>
      </w:r>
    </w:p>
    <w:p w14:paraId="00F88942"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SEXTO. </w:t>
      </w:r>
      <w:r w:rsidRPr="003D1568">
        <w:rPr>
          <w:rFonts w:ascii="Georgia" w:eastAsia="Georgia" w:hAnsi="Georgia" w:cs="Georgia"/>
          <w:sz w:val="24"/>
          <w:szCs w:val="24"/>
        </w:rPr>
        <w:t>Se solicita respetuosamente la aclaración de ese extremo por dos razones.</w:t>
      </w:r>
    </w:p>
    <w:p w14:paraId="59B66C7C" w14:textId="77777777" w:rsidR="007324FA" w:rsidRPr="003D1568" w:rsidRDefault="00000000">
      <w:pPr>
        <w:spacing w:after="120" w:line="300" w:lineRule="auto"/>
        <w:jc w:val="both"/>
        <w:rPr>
          <w:sz w:val="21"/>
          <w:szCs w:val="21"/>
        </w:rPr>
      </w:pPr>
      <w:r w:rsidRPr="003D1568">
        <w:rPr>
          <w:rFonts w:ascii="Georgia" w:eastAsia="Georgia" w:hAnsi="Georgia" w:cs="Georgia"/>
          <w:b/>
          <w:bCs/>
          <w:sz w:val="24"/>
          <w:szCs w:val="24"/>
        </w:rPr>
        <w:t xml:space="preserve">SÉTIMO. </w:t>
      </w:r>
      <w:r w:rsidRPr="003D1568">
        <w:rPr>
          <w:rFonts w:ascii="Georgia" w:eastAsia="Georgia" w:hAnsi="Georgia" w:cs="Georgia"/>
          <w:sz w:val="24"/>
          <w:szCs w:val="24"/>
        </w:rPr>
        <w:t>La primera razón es que esta parte nunca afirmó que el Colegio, su Junta Directiva, su Tribunal de Honor o su Fiscalía hubieran sustraído, retenido o mantuvieran bajo su custodia los expedientes clínicos. El escrito inicial atribuyó esa conducta, de manera expresa, a las personas profesionales que, al desvincularse del establecimiento, retiraron o suprimieron los registros. Lo que se reprochó a las autoridades recurridas fue algo distinto: la omisión de ejercer, frente a esas personas colegiadas, las competencias que el ordenamiento les asigna. La pretensión (iv) del recurso lo formuló en estos términos literales:</w:t>
      </w:r>
    </w:p>
    <w:p w14:paraId="466CC423" w14:textId="77777777" w:rsidR="007324FA" w:rsidRPr="003D1568" w:rsidRDefault="00000000">
      <w:pPr>
        <w:spacing w:before="80" w:after="200" w:line="300" w:lineRule="auto"/>
        <w:ind w:left="720" w:right="400"/>
        <w:jc w:val="both"/>
        <w:rPr>
          <w:sz w:val="21"/>
          <w:szCs w:val="21"/>
        </w:rPr>
      </w:pPr>
      <w:r w:rsidRPr="003D1568">
        <w:rPr>
          <w:rFonts w:ascii="Georgia" w:eastAsia="Georgia" w:hAnsi="Georgia" w:cs="Georgia"/>
          <w:i/>
          <w:iCs/>
          <w:sz w:val="21"/>
          <w:szCs w:val="21"/>
        </w:rPr>
        <w:t xml:space="preserve">“… ordenar… que la Junta Directiva y la Fiscalía del Colegio, órganos con competencia respecto de las personas colegiadas, dispongan lo necesario para establecer el paradero de esos registros y requerir su restitución —o, en su defecto, su reposición o reconstrucción con la información existente— </w:t>
      </w:r>
      <w:r w:rsidRPr="003D1568">
        <w:rPr>
          <w:rFonts w:ascii="Georgia" w:eastAsia="Georgia" w:hAnsi="Georgia" w:cs="Georgia"/>
          <w:b/>
          <w:bCs/>
          <w:i/>
          <w:iCs/>
          <w:sz w:val="21"/>
          <w:szCs w:val="21"/>
        </w:rPr>
        <w:t>a quienes, por razón de su intervención profesional, los retiraron o suprimieron</w:t>
      </w:r>
      <w:r w:rsidRPr="003D1568">
        <w:rPr>
          <w:rFonts w:ascii="Georgia" w:eastAsia="Georgia" w:hAnsi="Georgia" w:cs="Georgia"/>
          <w:i/>
          <w:iCs/>
          <w:sz w:val="21"/>
          <w:szCs w:val="21"/>
        </w:rPr>
        <w:t>, garantizando la trazabilidad; remedio que no revisa la tramitación administrativa anterior —cuestión remitida a la vía ordinaria— ni interviene en procedimiento disciplinario alguno en trámite.”</w:t>
      </w:r>
    </w:p>
    <w:p w14:paraId="55AD5804" w14:textId="77777777" w:rsidR="007324FA" w:rsidRPr="003D1568" w:rsidRDefault="00000000">
      <w:pPr>
        <w:spacing w:after="200" w:line="300" w:lineRule="auto"/>
        <w:jc w:val="both"/>
        <w:rPr>
          <w:sz w:val="21"/>
          <w:szCs w:val="21"/>
        </w:rPr>
      </w:pPr>
      <w:r w:rsidRPr="003D1568">
        <w:rPr>
          <w:rFonts w:ascii="Georgia" w:eastAsia="Georgia" w:hAnsi="Georgia" w:cs="Georgia"/>
          <w:sz w:val="24"/>
          <w:szCs w:val="24"/>
        </w:rPr>
        <w:t>El hecho declarado no probado corresponde, así, a una alegación que no fue planteada: se tiene por no acreditada una retención por parte del Colegio que el propio recurso descartó desde su formulación, al señalar como autores del retiro o supresión a terceros y como objeto del reclamo la omisión de tutela.</w:t>
      </w:r>
    </w:p>
    <w:p w14:paraId="76168178"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OCTAVO. </w:t>
      </w:r>
      <w:r w:rsidRPr="003D1568">
        <w:rPr>
          <w:rFonts w:ascii="Georgia" w:eastAsia="Georgia" w:hAnsi="Georgia" w:cs="Georgia"/>
          <w:sz w:val="24"/>
          <w:szCs w:val="24"/>
        </w:rPr>
        <w:t>La segunda razón es que el hecho no probado menciona a la Fiscalía del Colegio, órgano señalado como recurrido en el escrito inicial pero al que la resolución de curso no requirió informe, de modo que su conducta no fue objeto de contradictorio en este proceso.</w:t>
      </w:r>
    </w:p>
    <w:p w14:paraId="5871C7A3"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NOVENO. </w:t>
      </w:r>
      <w:r w:rsidRPr="003D1568">
        <w:rPr>
          <w:rFonts w:ascii="Georgia" w:eastAsia="Georgia" w:hAnsi="Georgia" w:cs="Georgia"/>
          <w:sz w:val="24"/>
          <w:szCs w:val="24"/>
        </w:rPr>
        <w:t xml:space="preserve">Esta gestión no cuestiona la desestimatoria de ese extremo. Se reconoce que el Considerando VIII la sustenta en una razón distinta y suficiente: que la determinación </w:t>
      </w:r>
      <w:r w:rsidRPr="003D1568">
        <w:rPr>
          <w:rFonts w:ascii="Georgia" w:eastAsia="Georgia" w:hAnsi="Georgia" w:cs="Georgia"/>
          <w:sz w:val="24"/>
          <w:szCs w:val="24"/>
        </w:rPr>
        <w:lastRenderedPageBreak/>
        <w:t>de la custodia material, la suficiencia de las gestiones de investigación y las medidas de restitución aplicables demandan prueba técnica y contradictorio, y exceden el carácter sumario del amparo. Lo que se solicita es únicamente que se aclare que el hecho no probado (a) se refiere a circunstancias no atribuidas a las autoridades recurridas por esta parte, a fin de evitar que la formulación sea entendida como el rechazo de una alegación que no fue planteada en esos términos.</w:t>
      </w:r>
    </w:p>
    <w:p w14:paraId="20049966" w14:textId="77777777" w:rsidR="007324FA" w:rsidRPr="003D1568" w:rsidRDefault="00000000">
      <w:pPr>
        <w:keepNext/>
        <w:spacing w:after="160" w:line="300" w:lineRule="auto"/>
        <w:jc w:val="both"/>
        <w:rPr>
          <w:sz w:val="21"/>
          <w:szCs w:val="21"/>
        </w:rPr>
      </w:pPr>
      <w:r w:rsidRPr="003D1568">
        <w:rPr>
          <w:rFonts w:ascii="Georgia" w:eastAsia="Georgia" w:hAnsi="Georgia" w:cs="Georgia"/>
          <w:b/>
          <w:bCs/>
          <w:sz w:val="28"/>
          <w:szCs w:val="28"/>
        </w:rPr>
        <w:t>III. ADICIÓN: LA PRETENSIÓN (vii) DEL ESCRITO INICIAL</w:t>
      </w:r>
    </w:p>
    <w:p w14:paraId="6B7DA815" w14:textId="77777777" w:rsidR="007324FA" w:rsidRPr="003D1568" w:rsidRDefault="00000000">
      <w:pPr>
        <w:spacing w:after="120" w:line="300" w:lineRule="auto"/>
        <w:jc w:val="both"/>
        <w:rPr>
          <w:sz w:val="21"/>
          <w:szCs w:val="21"/>
        </w:rPr>
      </w:pPr>
      <w:r w:rsidRPr="003D1568">
        <w:rPr>
          <w:rFonts w:ascii="Georgia" w:eastAsia="Georgia" w:hAnsi="Georgia" w:cs="Georgia"/>
          <w:b/>
          <w:bCs/>
          <w:sz w:val="24"/>
          <w:szCs w:val="24"/>
        </w:rPr>
        <w:t xml:space="preserve">DÉCIMO. </w:t>
      </w:r>
      <w:r w:rsidRPr="003D1568">
        <w:rPr>
          <w:rFonts w:ascii="Georgia" w:eastAsia="Georgia" w:hAnsi="Georgia" w:cs="Georgia"/>
          <w:sz w:val="24"/>
          <w:szCs w:val="24"/>
        </w:rPr>
        <w:t>El escrito inicial incluyó la siguiente pretensión:</w:t>
      </w:r>
    </w:p>
    <w:p w14:paraId="4EA61927" w14:textId="77777777" w:rsidR="007324FA" w:rsidRPr="003D1568" w:rsidRDefault="00000000">
      <w:pPr>
        <w:spacing w:before="80" w:after="200" w:line="300" w:lineRule="auto"/>
        <w:ind w:left="720" w:right="400"/>
        <w:jc w:val="both"/>
        <w:rPr>
          <w:sz w:val="21"/>
          <w:szCs w:val="21"/>
        </w:rPr>
      </w:pPr>
      <w:r w:rsidRPr="003D1568">
        <w:rPr>
          <w:rFonts w:ascii="Georgia" w:eastAsia="Georgia" w:hAnsi="Georgia" w:cs="Georgia"/>
          <w:i/>
          <w:iCs/>
          <w:sz w:val="21"/>
          <w:szCs w:val="21"/>
        </w:rPr>
        <w:t>“(vii) ordenar a la autoridad recurrida informar al recurrente qué personas —internas o externas a su estructura— han intervenido en la elaboración, transcripción y custodia de los acuerdos que contienen sus datos personales, con indicación de la habilitación y los deberes de confidencialidad que las cubren (artículo 24 constitucional; artículo 7 de la Ley N.° 8968…).”</w:t>
      </w:r>
    </w:p>
    <w:p w14:paraId="551FB9D2"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UNDÉCIMO. </w:t>
      </w:r>
      <w:r w:rsidRPr="003D1568">
        <w:rPr>
          <w:rFonts w:ascii="Georgia" w:eastAsia="Georgia" w:hAnsi="Georgia" w:cs="Georgia"/>
          <w:sz w:val="24"/>
          <w:szCs w:val="24"/>
        </w:rPr>
        <w:t xml:space="preserve">El Considerando IX indica que no corresponde a esa jurisdicción “individualizar a las personas que redactaron o intervinieron internamente en los acuerdos </w:t>
      </w:r>
      <w:r w:rsidRPr="003D1568">
        <w:rPr>
          <w:rFonts w:ascii="Georgia" w:eastAsia="Georgia" w:hAnsi="Georgia" w:cs="Georgia"/>
          <w:b/>
          <w:bCs/>
          <w:sz w:val="24"/>
          <w:szCs w:val="24"/>
        </w:rPr>
        <w:t>para imponerles responsabilidad personal</w:t>
      </w:r>
      <w:r w:rsidRPr="003D1568">
        <w:rPr>
          <w:rFonts w:ascii="Georgia" w:eastAsia="Georgia" w:hAnsi="Georgia" w:cs="Georgia"/>
          <w:sz w:val="24"/>
          <w:szCs w:val="24"/>
        </w:rPr>
        <w:t>”. Esa consideración atiende la pretensión (viii), relativa a la declaratoria de responsabilidad.</w:t>
      </w:r>
    </w:p>
    <w:p w14:paraId="3D288029"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DUODÉCIMO. </w:t>
      </w:r>
      <w:r w:rsidRPr="003D1568">
        <w:rPr>
          <w:rFonts w:ascii="Georgia" w:eastAsia="Georgia" w:hAnsi="Georgia" w:cs="Georgia"/>
          <w:sz w:val="24"/>
          <w:szCs w:val="24"/>
        </w:rPr>
        <w:t>La pretensión (vii) se planteó, en cambio, en el ámbito del derecho a la autodeterminación informativa: conocer qué personas trataron los datos personales del suscrito y bajo qué deberes de confidencialidad, sin pretensión sancionatoria alguna. Se somete a consideración de la Sala si procede un pronunciamiento sobre ese extremo en los términos en que fue formulado.</w:t>
      </w:r>
    </w:p>
    <w:p w14:paraId="55C97AB0" w14:textId="77777777" w:rsidR="007324FA" w:rsidRPr="003D1568" w:rsidRDefault="00000000">
      <w:pPr>
        <w:keepNext/>
        <w:spacing w:after="160" w:line="300" w:lineRule="auto"/>
        <w:jc w:val="both"/>
        <w:rPr>
          <w:sz w:val="21"/>
          <w:szCs w:val="21"/>
        </w:rPr>
      </w:pPr>
      <w:r w:rsidRPr="003D1568">
        <w:rPr>
          <w:rFonts w:ascii="Georgia" w:eastAsia="Georgia" w:hAnsi="Georgia" w:cs="Georgia"/>
          <w:b/>
          <w:bCs/>
          <w:sz w:val="28"/>
          <w:szCs w:val="28"/>
        </w:rPr>
        <w:t>POR TANTO</w:t>
      </w:r>
    </w:p>
    <w:p w14:paraId="2D748AF4" w14:textId="77777777" w:rsidR="007324FA" w:rsidRPr="003D1568" w:rsidRDefault="00000000">
      <w:pPr>
        <w:spacing w:after="140" w:line="300" w:lineRule="auto"/>
        <w:jc w:val="both"/>
        <w:rPr>
          <w:sz w:val="21"/>
          <w:szCs w:val="21"/>
        </w:rPr>
      </w:pPr>
      <w:r w:rsidRPr="003D1568">
        <w:rPr>
          <w:rFonts w:ascii="Georgia" w:eastAsia="Georgia" w:hAnsi="Georgia" w:cs="Georgia"/>
          <w:sz w:val="24"/>
          <w:szCs w:val="24"/>
        </w:rPr>
        <w:t>Con fundamento en el artículo 12 de la Ley de la Jurisdicción Constitucional, se solicita respetuosamente:</w:t>
      </w:r>
    </w:p>
    <w:p w14:paraId="6B038463"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1. </w:t>
      </w:r>
      <w:r w:rsidRPr="003D1568">
        <w:rPr>
          <w:rFonts w:ascii="Georgia" w:eastAsia="Georgia" w:hAnsi="Georgia" w:cs="Georgia"/>
          <w:sz w:val="24"/>
          <w:szCs w:val="24"/>
        </w:rPr>
        <w:t>Adicionar la parte dispositiva a fin de incorporar, en los términos ya expuestos en el Considerando VII, el deber del Colegio de mantener disponible únicamente la versión corregida y de no presentar como conclusión institucional una responsabilidad que no haya sido declarada por el órgano competente mediante resolución firme.</w:t>
      </w:r>
    </w:p>
    <w:p w14:paraId="00FAAA54"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2. </w:t>
      </w:r>
      <w:r w:rsidRPr="003D1568">
        <w:rPr>
          <w:rFonts w:ascii="Georgia" w:eastAsia="Georgia" w:hAnsi="Georgia" w:cs="Georgia"/>
          <w:sz w:val="24"/>
          <w:szCs w:val="24"/>
        </w:rPr>
        <w:t xml:space="preserve">Aclarar que el hecho no probado (a) se refiere a circunstancias que esta parte no atribuyó a las autoridades recurridas, dado que la pretensión (iv) del escrito inicial se dirigió al ejercicio de las competencias de la Junta Directiva y de la Fiscalía respecto de </w:t>
      </w:r>
      <w:r w:rsidRPr="003D1568">
        <w:rPr>
          <w:rFonts w:ascii="Georgia" w:eastAsia="Georgia" w:hAnsi="Georgia" w:cs="Georgia"/>
          <w:sz w:val="24"/>
          <w:szCs w:val="24"/>
        </w:rPr>
        <w:lastRenderedPageBreak/>
        <w:t>las personas colegiadas que retiraron o suprimieron los registros, y que la Fiscalía del Colegio, allí mencionada, no fue requerida de informe en este proceso.</w:t>
      </w:r>
    </w:p>
    <w:p w14:paraId="2B64FC42"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3. </w:t>
      </w:r>
      <w:r w:rsidRPr="003D1568">
        <w:rPr>
          <w:rFonts w:ascii="Georgia" w:eastAsia="Georgia" w:hAnsi="Georgia" w:cs="Georgia"/>
          <w:sz w:val="24"/>
          <w:szCs w:val="24"/>
        </w:rPr>
        <w:t>Adicionar el pronunciamiento correspondiente a la pretensión (vii) del escrito inicial, formulada en el ámbito del artículo 24 de la Constitución Política y del artículo 7 de la Ley N.° 8968, sin contenido sancionatorio.</w:t>
      </w:r>
    </w:p>
    <w:p w14:paraId="5C2E3C1A" w14:textId="77777777" w:rsidR="007324FA" w:rsidRPr="003D1568" w:rsidRDefault="00000000">
      <w:pPr>
        <w:spacing w:after="200" w:line="300" w:lineRule="auto"/>
        <w:jc w:val="both"/>
        <w:rPr>
          <w:sz w:val="21"/>
          <w:szCs w:val="21"/>
        </w:rPr>
      </w:pPr>
      <w:r w:rsidRPr="003D1568">
        <w:rPr>
          <w:rFonts w:ascii="Georgia" w:eastAsia="Georgia" w:hAnsi="Georgia" w:cs="Georgia"/>
          <w:b/>
          <w:bCs/>
          <w:sz w:val="24"/>
          <w:szCs w:val="24"/>
        </w:rPr>
        <w:t xml:space="preserve">4. </w:t>
      </w:r>
      <w:r w:rsidRPr="003D1568">
        <w:rPr>
          <w:rFonts w:ascii="Georgia" w:eastAsia="Georgia" w:hAnsi="Georgia" w:cs="Georgia"/>
          <w:sz w:val="24"/>
          <w:szCs w:val="24"/>
        </w:rPr>
        <w:t>Tener presente que esta gestión no pretende la modificación de lo resuelto, y que se mantiene incólume la reserva de la documentación con datos sensibles dispuesta en la sentencia.</w:t>
      </w:r>
    </w:p>
    <w:p w14:paraId="74C4ABC3" w14:textId="77777777" w:rsidR="007324FA" w:rsidRPr="003D1568" w:rsidRDefault="00000000">
      <w:pPr>
        <w:spacing w:after="200" w:line="300" w:lineRule="auto"/>
        <w:jc w:val="both"/>
        <w:rPr>
          <w:sz w:val="21"/>
          <w:szCs w:val="21"/>
        </w:rPr>
      </w:pPr>
      <w:r w:rsidRPr="003D1568">
        <w:rPr>
          <w:rFonts w:ascii="Georgia" w:eastAsia="Georgia" w:hAnsi="Georgia" w:cs="Georgia"/>
          <w:sz w:val="24"/>
          <w:szCs w:val="24"/>
        </w:rPr>
        <w:t>San José, 29 de agosto de 2026.</w:t>
      </w:r>
    </w:p>
    <w:p w14:paraId="37FE592B" w14:textId="77777777" w:rsidR="007324FA" w:rsidRDefault="00000000">
      <w:pPr>
        <w:spacing w:after="200" w:line="300" w:lineRule="auto"/>
        <w:jc w:val="both"/>
        <w:rPr>
          <w:rFonts w:ascii="Georgia" w:eastAsia="Georgia" w:hAnsi="Georgia" w:cs="Georgia"/>
          <w:sz w:val="24"/>
          <w:szCs w:val="24"/>
        </w:rPr>
      </w:pPr>
      <w:r w:rsidRPr="003D1568">
        <w:rPr>
          <w:rFonts w:ascii="Georgia" w:eastAsia="Georgia" w:hAnsi="Georgia" w:cs="Georgia"/>
          <w:sz w:val="24"/>
          <w:szCs w:val="24"/>
        </w:rPr>
        <w:t>Notificaciones: legal@grupopoiesis.com; teléfono 2100-9615.</w:t>
      </w:r>
    </w:p>
    <w:p w14:paraId="076A8D2A" w14:textId="77777777" w:rsidR="003D1568" w:rsidRDefault="003D1568">
      <w:pPr>
        <w:spacing w:after="200" w:line="300" w:lineRule="auto"/>
        <w:jc w:val="both"/>
        <w:rPr>
          <w:rFonts w:ascii="Georgia" w:eastAsia="Georgia" w:hAnsi="Georgia" w:cs="Georgia"/>
          <w:sz w:val="24"/>
          <w:szCs w:val="24"/>
        </w:rPr>
      </w:pPr>
    </w:p>
    <w:p w14:paraId="44365CF7" w14:textId="77777777" w:rsidR="003D1568" w:rsidRPr="003D1568" w:rsidRDefault="003D1568" w:rsidP="003D1568">
      <w:pPr>
        <w:spacing w:after="200" w:line="300" w:lineRule="auto"/>
        <w:jc w:val="center"/>
        <w:rPr>
          <w:sz w:val="21"/>
          <w:szCs w:val="21"/>
        </w:rPr>
      </w:pPr>
    </w:p>
    <w:p w14:paraId="33AF8DBB" w14:textId="77777777" w:rsidR="007324FA" w:rsidRPr="003D1568" w:rsidRDefault="00000000" w:rsidP="003D1568">
      <w:pPr>
        <w:spacing w:after="300" w:line="300" w:lineRule="auto"/>
        <w:jc w:val="center"/>
        <w:rPr>
          <w:sz w:val="21"/>
          <w:szCs w:val="21"/>
        </w:rPr>
      </w:pPr>
      <w:r w:rsidRPr="003D1568">
        <w:rPr>
          <w:rFonts w:ascii="Georgia" w:eastAsia="Georgia" w:hAnsi="Georgia" w:cs="Georgia"/>
          <w:sz w:val="24"/>
          <w:szCs w:val="24"/>
        </w:rPr>
        <w:t>Lugar, Día y Hora de la Firma Digital.</w:t>
      </w:r>
    </w:p>
    <w:p w14:paraId="70DD00DE" w14:textId="77777777" w:rsidR="007324FA" w:rsidRPr="003D1568" w:rsidRDefault="00000000" w:rsidP="003D1568">
      <w:pPr>
        <w:spacing w:after="40" w:line="300" w:lineRule="auto"/>
        <w:jc w:val="center"/>
        <w:rPr>
          <w:sz w:val="21"/>
          <w:szCs w:val="21"/>
        </w:rPr>
      </w:pPr>
      <w:r w:rsidRPr="003D1568">
        <w:rPr>
          <w:rFonts w:ascii="Georgia" w:eastAsia="Georgia" w:hAnsi="Georgia" w:cs="Georgia"/>
          <w:b/>
          <w:bCs/>
          <w:sz w:val="24"/>
          <w:szCs w:val="24"/>
        </w:rPr>
        <w:t>Dr. Carlos Fernando Bonilla Cortés (P.Sc., L.P.)</w:t>
      </w:r>
    </w:p>
    <w:p w14:paraId="69773EDB" w14:textId="77777777" w:rsidR="007324FA" w:rsidRPr="003D1568" w:rsidRDefault="00000000" w:rsidP="003D1568">
      <w:pPr>
        <w:spacing w:after="40" w:line="300" w:lineRule="auto"/>
        <w:jc w:val="center"/>
        <w:rPr>
          <w:sz w:val="21"/>
          <w:szCs w:val="21"/>
        </w:rPr>
      </w:pPr>
      <w:r w:rsidRPr="003D1568">
        <w:rPr>
          <w:rFonts w:ascii="Georgia" w:eastAsia="Georgia" w:hAnsi="Georgia" w:cs="Georgia"/>
          <w:sz w:val="24"/>
          <w:szCs w:val="24"/>
        </w:rPr>
        <w:t>Psicólogo &amp; Psicoanalista</w:t>
      </w:r>
    </w:p>
    <w:p w14:paraId="1EB33B4A" w14:textId="77777777" w:rsidR="007324FA" w:rsidRPr="003D1568" w:rsidRDefault="00000000" w:rsidP="003D1568">
      <w:pPr>
        <w:spacing w:after="40" w:line="300" w:lineRule="auto"/>
        <w:jc w:val="center"/>
        <w:rPr>
          <w:sz w:val="21"/>
          <w:szCs w:val="21"/>
        </w:rPr>
      </w:pPr>
      <w:r w:rsidRPr="003D1568">
        <w:rPr>
          <w:rFonts w:ascii="Georgia" w:eastAsia="Georgia" w:hAnsi="Georgia" w:cs="Georgia"/>
          <w:sz w:val="24"/>
          <w:szCs w:val="24"/>
        </w:rPr>
        <w:t>CPPCr N.° 7266 | Cédula N.° 1-1068-0862</w:t>
      </w:r>
    </w:p>
    <w:p w14:paraId="5CF656A7" w14:textId="77777777" w:rsidR="007324FA" w:rsidRPr="003D1568" w:rsidRDefault="00000000" w:rsidP="003D1568">
      <w:pPr>
        <w:spacing w:after="40" w:line="300" w:lineRule="auto"/>
        <w:jc w:val="center"/>
        <w:rPr>
          <w:sz w:val="21"/>
          <w:szCs w:val="21"/>
        </w:rPr>
      </w:pPr>
      <w:r w:rsidRPr="003D1568">
        <w:rPr>
          <w:rFonts w:ascii="Georgia" w:eastAsia="Georgia" w:hAnsi="Georgia" w:cs="Georgia"/>
          <w:sz w:val="24"/>
          <w:szCs w:val="24"/>
        </w:rPr>
        <w:t>Director General y Representante Legal</w:t>
      </w:r>
    </w:p>
    <w:p w14:paraId="71673D86" w14:textId="77777777" w:rsidR="007324FA" w:rsidRPr="003D1568" w:rsidRDefault="00000000" w:rsidP="003D1568">
      <w:pPr>
        <w:spacing w:after="40" w:line="300" w:lineRule="auto"/>
        <w:jc w:val="center"/>
        <w:rPr>
          <w:sz w:val="21"/>
          <w:szCs w:val="21"/>
        </w:rPr>
      </w:pPr>
      <w:r w:rsidRPr="003D1568">
        <w:rPr>
          <w:rFonts w:ascii="Georgia" w:eastAsia="Georgia" w:hAnsi="Georgia" w:cs="Georgia"/>
          <w:sz w:val="24"/>
          <w:szCs w:val="24"/>
        </w:rPr>
        <w:t>Grupo Poïesis S.A. — Cédula Jurídica N.° 3-101-746424</w:t>
      </w:r>
    </w:p>
    <w:p w14:paraId="20B03D5C" w14:textId="77777777" w:rsidR="007324FA" w:rsidRPr="003D1568" w:rsidRDefault="00000000" w:rsidP="003D1568">
      <w:pPr>
        <w:spacing w:after="200" w:line="300" w:lineRule="auto"/>
        <w:jc w:val="center"/>
        <w:rPr>
          <w:sz w:val="21"/>
          <w:szCs w:val="21"/>
        </w:rPr>
      </w:pPr>
      <w:r w:rsidRPr="003D1568">
        <w:rPr>
          <w:rFonts w:ascii="Georgia" w:eastAsia="Georgia" w:hAnsi="Georgia" w:cs="Georgia"/>
          <w:sz w:val="24"/>
          <w:szCs w:val="24"/>
        </w:rPr>
        <w:t>Responsable Sanitario | Permiso ARSLU-3440-06-2025 | CAECR 8690.9.10</w:t>
      </w:r>
    </w:p>
    <w:sectPr w:rsidR="007324FA" w:rsidRPr="003D15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4C2C48" w14:textId="77777777" w:rsidR="0024063B" w:rsidRDefault="0024063B">
      <w:r>
        <w:separator/>
      </w:r>
    </w:p>
  </w:endnote>
  <w:endnote w:type="continuationSeparator" w:id="0">
    <w:p w14:paraId="1239C94D" w14:textId="77777777" w:rsidR="0024063B" w:rsidRDefault="00240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A7BFD" w14:textId="77777777" w:rsidR="007324FA" w:rsidRDefault="00000000">
    <w:pPr>
      <w:jc w:val="center"/>
    </w:pPr>
    <w:r>
      <w:rPr>
        <w:rFonts w:ascii="Georgia" w:eastAsia="Georgia" w:hAnsi="Georgia" w:cs="Georgia"/>
        <w:sz w:val="16"/>
        <w:szCs w:val="16"/>
      </w:rPr>
      <w:t xml:space="preserve">Página </w:t>
    </w:r>
    <w:r>
      <w:rPr>
        <w:rFonts w:ascii="Georgia" w:eastAsia="Georgia" w:hAnsi="Georgia" w:cs="Georgia"/>
        <w:i/>
        <w:iCs/>
        <w:sz w:val="16"/>
        <w:szCs w:val="16"/>
      </w:rPr>
      <w:fldChar w:fldCharType="begin"/>
    </w:r>
    <w:r>
      <w:rPr>
        <w:rFonts w:ascii="Georgia" w:eastAsia="Georgia" w:hAnsi="Georgia" w:cs="Georgia"/>
        <w:i/>
        <w:iCs/>
        <w:sz w:val="16"/>
        <w:szCs w:val="16"/>
      </w:rPr>
      <w:instrText>PAGE</w:instrText>
    </w:r>
    <w:r>
      <w:rPr>
        <w:rFonts w:ascii="Georgia" w:eastAsia="Georgia" w:hAnsi="Georgia" w:cs="Georgia"/>
        <w:i/>
        <w:iCs/>
        <w:sz w:val="16"/>
        <w:szCs w:val="16"/>
      </w:rPr>
      <w:fldChar w:fldCharType="separate"/>
    </w:r>
    <w:r w:rsidR="003D1568">
      <w:rPr>
        <w:rFonts w:ascii="Georgia" w:eastAsia="Georgia" w:hAnsi="Georgia" w:cs="Georgia"/>
        <w:i/>
        <w:iCs/>
        <w:noProof/>
        <w:sz w:val="16"/>
        <w:szCs w:val="16"/>
      </w:rPr>
      <w:t>1</w:t>
    </w:r>
    <w:r>
      <w:rPr>
        <w:rFonts w:ascii="Georgia" w:eastAsia="Georgia" w:hAnsi="Georgia" w:cs="Georgia"/>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DDC737" w14:textId="77777777" w:rsidR="0024063B" w:rsidRDefault="0024063B">
      <w:r>
        <w:separator/>
      </w:r>
    </w:p>
  </w:footnote>
  <w:footnote w:type="continuationSeparator" w:id="0">
    <w:p w14:paraId="7F714247" w14:textId="77777777" w:rsidR="0024063B" w:rsidRDefault="00240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938D8" w14:textId="77777777" w:rsidR="007324FA" w:rsidRDefault="00000000">
    <w:pPr>
      <w:jc w:val="right"/>
    </w:pPr>
    <w:r>
      <w:rPr>
        <w:rFonts w:ascii="Georgia" w:eastAsia="Georgia" w:hAnsi="Georgia" w:cs="Georgia"/>
        <w:i/>
        <w:iCs/>
        <w:sz w:val="16"/>
        <w:szCs w:val="16"/>
      </w:rPr>
      <w:t>Exp. 26-024427-0007-CO — Gestión de Adición y Aclaración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7C5D66"/>
    <w:multiLevelType w:val="hybridMultilevel"/>
    <w:tmpl w:val="B3F0A3BA"/>
    <w:lvl w:ilvl="0" w:tplc="A6CA287C">
      <w:start w:val="1"/>
      <w:numFmt w:val="bullet"/>
      <w:lvlText w:val="●"/>
      <w:lvlJc w:val="left"/>
      <w:pPr>
        <w:ind w:left="720" w:hanging="360"/>
      </w:pPr>
    </w:lvl>
    <w:lvl w:ilvl="1" w:tplc="9F76E4CE">
      <w:start w:val="1"/>
      <w:numFmt w:val="bullet"/>
      <w:lvlText w:val="○"/>
      <w:lvlJc w:val="left"/>
      <w:pPr>
        <w:ind w:left="1440" w:hanging="360"/>
      </w:pPr>
    </w:lvl>
    <w:lvl w:ilvl="2" w:tplc="5046FA34">
      <w:start w:val="1"/>
      <w:numFmt w:val="bullet"/>
      <w:lvlText w:val="■"/>
      <w:lvlJc w:val="left"/>
      <w:pPr>
        <w:ind w:left="2160" w:hanging="360"/>
      </w:pPr>
    </w:lvl>
    <w:lvl w:ilvl="3" w:tplc="211472E2">
      <w:start w:val="1"/>
      <w:numFmt w:val="bullet"/>
      <w:lvlText w:val="●"/>
      <w:lvlJc w:val="left"/>
      <w:pPr>
        <w:ind w:left="2880" w:hanging="360"/>
      </w:pPr>
    </w:lvl>
    <w:lvl w:ilvl="4" w:tplc="C81A0AFA">
      <w:start w:val="1"/>
      <w:numFmt w:val="bullet"/>
      <w:lvlText w:val="○"/>
      <w:lvlJc w:val="left"/>
      <w:pPr>
        <w:ind w:left="3600" w:hanging="360"/>
      </w:pPr>
    </w:lvl>
    <w:lvl w:ilvl="5" w:tplc="83F48F32">
      <w:start w:val="1"/>
      <w:numFmt w:val="bullet"/>
      <w:lvlText w:val="■"/>
      <w:lvlJc w:val="left"/>
      <w:pPr>
        <w:ind w:left="4320" w:hanging="360"/>
      </w:pPr>
    </w:lvl>
    <w:lvl w:ilvl="6" w:tplc="F946BF7A">
      <w:start w:val="1"/>
      <w:numFmt w:val="bullet"/>
      <w:lvlText w:val="●"/>
      <w:lvlJc w:val="left"/>
      <w:pPr>
        <w:ind w:left="5040" w:hanging="360"/>
      </w:pPr>
    </w:lvl>
    <w:lvl w:ilvl="7" w:tplc="2048D94C">
      <w:start w:val="1"/>
      <w:numFmt w:val="bullet"/>
      <w:lvlText w:val="●"/>
      <w:lvlJc w:val="left"/>
      <w:pPr>
        <w:ind w:left="5760" w:hanging="360"/>
      </w:pPr>
    </w:lvl>
    <w:lvl w:ilvl="8" w:tplc="B93A6E3C">
      <w:start w:val="1"/>
      <w:numFmt w:val="bullet"/>
      <w:lvlText w:val="●"/>
      <w:lvlJc w:val="left"/>
      <w:pPr>
        <w:ind w:left="6480" w:hanging="360"/>
      </w:pPr>
    </w:lvl>
  </w:abstractNum>
  <w:num w:numId="1" w16cid:durableId="2884336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4FA"/>
    <w:rsid w:val="0024063B"/>
    <w:rsid w:val="003A39C1"/>
    <w:rsid w:val="003D1568"/>
    <w:rsid w:val="007324FA"/>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19F58A9A"/>
  <w15:docId w15:val="{861C33E0-E7BF-D04C-AA37-4B4C1D1D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1236</Words>
  <Characters>6791</Characters>
  <Application>Microsoft Office Word</Application>
  <DocSecurity>0</DocSecurity>
  <Lines>117</Lines>
  <Paragraphs>59</Paragraphs>
  <ScaleCrop>false</ScaleCrop>
  <Company>Poïesis</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Adición y Aclaración — Sentencia N.° 2026-033012 — Exp. 26-024427-0007-CO</dc:title>
  <dc:creator>Grupo Poïesis</dc:creator>
  <cp:lastModifiedBy>Ichi Bonilla Cortés</cp:lastModifiedBy>
  <cp:revision>2</cp:revision>
  <dcterms:created xsi:type="dcterms:W3CDTF">2026-08-29T07:47:00Z</dcterms:created>
  <dcterms:modified xsi:type="dcterms:W3CDTF">2026-08-29T07:47:00Z</dcterms:modified>
</cp:coreProperties>
</file>