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Safira March" w:hAnsi="Safira March"/>
          <w:color w:val="131237"/>
          <w:sz w:val="48"/>
        </w:rPr>
        <w:t>Contrato marco de adquisición y licencia de herramientas digitales</w:t>
      </w:r>
    </w:p>
    <w:p>
      <w:pPr>
        <w:spacing w:before="0" w:after="160" w:line="300" w:lineRule="auto"/>
      </w:pPr>
      <w:r>
        <w:rPr>
          <w:rFonts w:ascii="Georgia" w:hAnsi="Georgia"/>
          <w:b w:val="0"/>
          <w:i/>
          <w:color w:val="5C6684"/>
          <w:sz w:val="20"/>
        </w:rPr>
        <w:t>Propuesta para revisión, entregada el 27 de octubre de 2026. No se solicita su firma en esta fecha.</w:t>
      </w:r>
    </w:p>
    <w:p>
      <w:pPr>
        <w:spacing w:before="0" w:after="120" w:line="300" w:lineRule="auto"/>
      </w:pPr>
      <w:r>
        <w:rPr>
          <w:rFonts w:ascii="Georgia" w:hAnsi="Georgia"/>
          <w:b w:val="0"/>
          <w:color w:val="2F2E47"/>
          <w:sz w:val="21"/>
        </w:rPr>
        <w:t xml:space="preserve">Entre nosotros, </w:t>
      </w:r>
      <w:r>
        <w:rPr>
          <w:rFonts w:ascii="Georgia" w:hAnsi="Georgia"/>
          <w:b/>
          <w:color w:val="2F2E47"/>
          <w:sz w:val="21"/>
        </w:rPr>
        <w:t>GRUPO POÏESIS CLÍNICA INTEGRAL DE PSICOLOGÍA Y PSICOANÁLISIS SOCIEDAD ANÓNIMA</w:t>
      </w:r>
      <w:r>
        <w:rPr>
          <w:rFonts w:ascii="Georgia" w:hAnsi="Georgia"/>
          <w:b w:val="0"/>
          <w:color w:val="2F2E47"/>
          <w:sz w:val="21"/>
        </w:rPr>
        <w:t xml:space="preserve">, cédula jurídica 3-101-746424, representada por Carlos Fernando Bonilla Cortés, con facultades suficientes para este acto, en adelante «la Adquirente»; y </w:t>
      </w:r>
      <w:r>
        <w:rPr>
          <w:rFonts w:ascii="Georgia" w:hAnsi="Georgia"/>
          <w:b/>
          <w:color w:val="2F2E47"/>
          <w:sz w:val="21"/>
        </w:rPr>
        <w:t>ANGIOLETTE ALCÁZAR MATA</w:t>
      </w:r>
      <w:r>
        <w:rPr>
          <w:rFonts w:ascii="Georgia" w:hAnsi="Georgia"/>
          <w:b w:val="0"/>
          <w:color w:val="2F2E47"/>
          <w:sz w:val="21"/>
        </w:rPr>
        <w:t>, cédula de identidad ______________, actuando por cuenta propia como desarrolladora independiente de herramientas digitales, en adelante «la Proveedora», convenimos el siguiente contrato marco:</w:t>
      </w:r>
    </w:p>
    <w:p>
      <w:pPr>
        <w:keepNext/>
        <w:spacing w:before="280" w:after="120" w:line="300" w:lineRule="auto"/>
        <w:pBdr>
          <w:bottom w:val="single" w:sz="6" w:space="4" w:color="D1D0CB"/>
        </w:pBdr>
      </w:pPr>
      <w:r>
        <w:rPr>
          <w:rFonts w:ascii="Safira March" w:hAnsi="Safira March"/>
          <w:color w:val="131237"/>
          <w:sz w:val="28"/>
        </w:rPr>
        <w:t>Primera. Objeto</w:t>
      </w:r>
    </w:p>
    <w:p>
      <w:pPr>
        <w:spacing w:before="0" w:after="120" w:line="300" w:lineRule="auto"/>
      </w:pPr>
      <w:r>
        <w:rPr>
          <w:rFonts w:ascii="Georgia" w:hAnsi="Georgia"/>
          <w:b w:val="0"/>
          <w:color w:val="2F2E47"/>
          <w:sz w:val="21"/>
        </w:rPr>
        <w:t>Este contrato establece el marco para que la Adquirente adquiera, o utilice bajo licencia, herramientas digitales originales creadas por la Proveedora, como plantillas y modelos automatizados en hojas de cálculo, en adelante «los productos». Cada operación se formaliza mediante una orden individual.</w:t>
      </w:r>
    </w:p>
    <w:p>
      <w:pPr>
        <w:keepNext/>
        <w:spacing w:before="280" w:after="120" w:line="300" w:lineRule="auto"/>
        <w:pBdr>
          <w:bottom w:val="single" w:sz="6" w:space="4" w:color="D1D0CB"/>
        </w:pBdr>
      </w:pPr>
      <w:r>
        <w:rPr>
          <w:rFonts w:ascii="Safira March" w:hAnsi="Safira March"/>
          <w:color w:val="131237"/>
          <w:sz w:val="28"/>
        </w:rPr>
        <w:t>Segunda. Relación laboral y operaciones independientes</w:t>
      </w:r>
    </w:p>
    <w:p>
      <w:pPr>
        <w:spacing w:before="0" w:after="120" w:line="300" w:lineRule="auto"/>
      </w:pPr>
      <w:r>
        <w:rPr>
          <w:rFonts w:ascii="Georgia" w:hAnsi="Georgia"/>
          <w:b w:val="0"/>
          <w:color w:val="2F2E47"/>
          <w:sz w:val="21"/>
        </w:rPr>
        <w:t>Entre las partes existe una relación laboral, que este contrato no modifica, sustituye ni extingue.</w:t>
      </w:r>
    </w:p>
    <w:p>
      <w:pPr>
        <w:spacing w:before="0" w:after="120" w:line="300" w:lineRule="auto"/>
      </w:pPr>
      <w:r>
        <w:rPr>
          <w:rFonts w:ascii="Georgia" w:hAnsi="Georgia"/>
          <w:b w:val="0"/>
          <w:color w:val="2F2E47"/>
          <w:sz w:val="21"/>
        </w:rPr>
        <w:t>Las operaciones de este contrato son distintas de las funciones del puesto. La Proveedora las ejecuta fuera de su jornada laboral, con sus propios medios y con autonomía para decidir cómo crear los productos y organizar su trabajo. La Adquirente define los requisitos del producto, pero no dirige su ejecución.</w:t>
      </w:r>
    </w:p>
    <w:p>
      <w:pPr>
        <w:spacing w:before="0" w:after="120" w:line="300" w:lineRule="auto"/>
      </w:pPr>
      <w:r>
        <w:rPr>
          <w:rFonts w:ascii="Georgia" w:hAnsi="Georgia"/>
          <w:b w:val="0"/>
          <w:color w:val="2F2E47"/>
          <w:sz w:val="21"/>
        </w:rPr>
        <w:t>No forman parte de este contrato las hojas de cálculo, los registros ni los reportes que la Proveedora prepara o actualiza como parte de su trabajo, aunque para ello use productos adquiridos mediante este contrato. Tampoco se adquieren por esta vía productos elaborados como parte de una tarea asignada en su puesto.</w:t>
      </w:r>
    </w:p>
    <w:p>
      <w:pPr>
        <w:spacing w:before="0" w:after="120" w:line="300" w:lineRule="auto"/>
      </w:pPr>
      <w:r>
        <w:rPr>
          <w:rFonts w:ascii="Georgia" w:hAnsi="Georgia"/>
          <w:b w:val="0"/>
          <w:color w:val="2F2E47"/>
          <w:sz w:val="21"/>
        </w:rPr>
        <w:t>La Proveedora puede ofrecer sus productos a terceros, salvo la exclusividad que se pacte para un producto determinado. Cualquiera de las partes puede proponer, aceptar o rechazar una operación, sin consecuencia alguna en la relación laboral.</w:t>
      </w:r>
    </w:p>
    <w:p>
      <w:pPr>
        <w:keepNext/>
        <w:spacing w:before="280" w:after="120" w:line="300" w:lineRule="auto"/>
        <w:pBdr>
          <w:bottom w:val="single" w:sz="6" w:space="4" w:color="D1D0CB"/>
        </w:pBdr>
      </w:pPr>
      <w:r>
        <w:rPr>
          <w:rFonts w:ascii="Safira March" w:hAnsi="Safira March"/>
          <w:color w:val="131237"/>
          <w:sz w:val="28"/>
        </w:rPr>
        <w:t>Tercera. Órdenes de compra</w:t>
      </w:r>
    </w:p>
    <w:p>
      <w:pPr>
        <w:spacing w:before="0" w:after="120" w:line="300" w:lineRule="auto"/>
      </w:pPr>
      <w:r>
        <w:rPr>
          <w:rFonts w:ascii="Georgia" w:hAnsi="Georgia"/>
          <w:b w:val="0"/>
          <w:color w:val="2F2E47"/>
          <w:sz w:val="21"/>
        </w:rPr>
        <w:t>Antes de iniciar cada operación, las partes acuerdan por escrito una orden de compra, a partir de una oferta de la Proveedora o de una propuesta de la Adquirente. La orden indica:</w:t>
      </w:r>
    </w:p>
    <w:p>
      <w:pPr>
        <w:pStyle w:val="ListBullet"/>
        <w:spacing w:before="0" w:after="60" w:line="300" w:lineRule="auto"/>
      </w:pPr>
      <w:r>
        <w:rPr>
          <w:rFonts w:ascii="Georgia" w:hAnsi="Georgia"/>
          <w:b w:val="0"/>
          <w:color w:val="2F2E47"/>
          <w:sz w:val="21"/>
        </w:rPr>
        <w:t>el producto y si se adquiere terminado o por elaborar;</w:t>
      </w:r>
    </w:p>
    <w:p>
      <w:pPr>
        <w:pStyle w:val="ListBullet"/>
        <w:spacing w:before="0" w:after="60" w:line="300" w:lineRule="auto"/>
      </w:pPr>
      <w:r>
        <w:rPr>
          <w:rFonts w:ascii="Georgia" w:hAnsi="Georgia"/>
          <w:b w:val="0"/>
          <w:color w:val="2F2E47"/>
          <w:sz w:val="21"/>
        </w:rPr>
        <w:t>sus características y los criterios para aceptarlo;</w:t>
      </w:r>
    </w:p>
    <w:p>
      <w:pPr>
        <w:pStyle w:val="ListBullet"/>
        <w:spacing w:before="0" w:after="60" w:line="300" w:lineRule="auto"/>
      </w:pPr>
      <w:r>
        <w:rPr>
          <w:rFonts w:ascii="Georgia" w:hAnsi="Georgia"/>
          <w:b w:val="0"/>
          <w:color w:val="2F2E47"/>
          <w:sz w:val="21"/>
        </w:rPr>
        <w:t>el precio y si incluye el impuesto al valor agregado;</w:t>
      </w:r>
    </w:p>
    <w:p>
      <w:pPr>
        <w:pStyle w:val="ListBullet"/>
        <w:spacing w:before="0" w:after="60" w:line="300" w:lineRule="auto"/>
      </w:pPr>
      <w:r>
        <w:rPr>
          <w:rFonts w:ascii="Georgia" w:hAnsi="Georgia"/>
          <w:b w:val="0"/>
          <w:color w:val="2F2E47"/>
          <w:sz w:val="21"/>
        </w:rPr>
        <w:t>la fecha y el canal de entrega;</w:t>
      </w:r>
    </w:p>
    <w:p>
      <w:pPr>
        <w:pStyle w:val="ListBullet"/>
        <w:spacing w:before="0" w:after="60" w:line="300" w:lineRule="auto"/>
      </w:pPr>
      <w:r>
        <w:rPr>
          <w:rFonts w:ascii="Georgia" w:hAnsi="Georgia"/>
          <w:b w:val="0"/>
          <w:color w:val="2F2E47"/>
          <w:sz w:val="21"/>
        </w:rPr>
        <w:t>los derechos que se adquieren, conforme a la cláusula sétima;</w:t>
      </w:r>
    </w:p>
    <w:p>
      <w:pPr>
        <w:pStyle w:val="ListBullet"/>
        <w:spacing w:before="0" w:after="60" w:line="300" w:lineRule="auto"/>
      </w:pPr>
      <w:r>
        <w:rPr>
          <w:rFonts w:ascii="Georgia" w:hAnsi="Georgia"/>
          <w:b w:val="0"/>
          <w:color w:val="2F2E47"/>
          <w:sz w:val="21"/>
        </w:rPr>
        <w:t>la documentación y el soporte posterior a la entrega, si se pactan.</w:t>
      </w:r>
    </w:p>
    <w:p>
      <w:pPr>
        <w:spacing w:before="0" w:after="120" w:line="300" w:lineRule="auto"/>
      </w:pPr>
      <w:r>
        <w:rPr>
          <w:rFonts w:ascii="Georgia" w:hAnsi="Georgia"/>
          <w:b w:val="0"/>
          <w:color w:val="2F2E47"/>
          <w:sz w:val="21"/>
        </w:rPr>
        <w:t>No existe un número mínimo de órdenes ni un pago periódico garantizado.</w:t>
      </w:r>
    </w:p>
    <w:p>
      <w:pPr>
        <w:keepNext/>
        <w:spacing w:before="280" w:after="120" w:line="300" w:lineRule="auto"/>
        <w:pBdr>
          <w:bottom w:val="single" w:sz="6" w:space="4" w:color="D1D0CB"/>
        </w:pBdr>
      </w:pPr>
      <w:r>
        <w:rPr>
          <w:rFonts w:ascii="Safira March" w:hAnsi="Safira March"/>
          <w:color w:val="131237"/>
          <w:sz w:val="28"/>
        </w:rPr>
        <w:t>Cuarta. Recursos y datos</w:t>
      </w:r>
    </w:p>
    <w:p>
      <w:pPr>
        <w:spacing w:before="0" w:after="120" w:line="300" w:lineRule="auto"/>
      </w:pPr>
      <w:r>
        <w:rPr>
          <w:rFonts w:ascii="Georgia" w:hAnsi="Georgia"/>
          <w:b w:val="0"/>
          <w:color w:val="2F2E47"/>
          <w:sz w:val="21"/>
        </w:rPr>
        <w:t>Si un producto requiere usar equipos, sistemas o licencias de la Adquirente, la autorización consta por escrito en la orden, con los recursos y el periodo de uso, fuera de la jornada laboral de la Proveedora.</w:t>
      </w:r>
    </w:p>
    <w:p>
      <w:pPr>
        <w:spacing w:before="0" w:after="120" w:line="300" w:lineRule="auto"/>
      </w:pPr>
      <w:r>
        <w:rPr>
          <w:rFonts w:ascii="Georgia" w:hAnsi="Georgia"/>
          <w:b w:val="0"/>
          <w:color w:val="2F2E47"/>
          <w:sz w:val="21"/>
        </w:rPr>
        <w:t>La Proveedora desarrolla y prueba los productos con datos ficticios. Ningún producto se entrega con datos de pacientes ni con información clínica.</w:t>
      </w:r>
    </w:p>
    <w:p>
      <w:pPr>
        <w:keepNext/>
        <w:spacing w:before="280" w:after="120" w:line="300" w:lineRule="auto"/>
        <w:pBdr>
          <w:bottom w:val="single" w:sz="6" w:space="4" w:color="D1D0CB"/>
        </w:pBdr>
      </w:pPr>
      <w:r>
        <w:rPr>
          <w:rFonts w:ascii="Safira March" w:hAnsi="Safira March"/>
          <w:color w:val="131237"/>
          <w:sz w:val="28"/>
        </w:rPr>
        <w:t>Quinta. Entrega y aceptación</w:t>
      </w:r>
    </w:p>
    <w:p>
      <w:pPr>
        <w:spacing w:before="0" w:after="120" w:line="300" w:lineRule="auto"/>
      </w:pPr>
      <w:r>
        <w:rPr>
          <w:rFonts w:ascii="Georgia" w:hAnsi="Georgia"/>
          <w:b w:val="0"/>
          <w:color w:val="2F2E47"/>
          <w:sz w:val="21"/>
        </w:rPr>
        <w:t>La entrega se hace en el correo o la carpeta digital que designe la orden, y es completa cuando comprende el archivo editable, con sus fórmulas y automatizaciones accesibles, y una guía breve de uso. Desde la fecha de envío registrada en ese canal, la Adquirente dispone de cinco días hábiles para aceptar el producto o formular observaciones concretas, referidas a los criterios de la orden.</w:t>
      </w:r>
    </w:p>
    <w:p>
      <w:pPr>
        <w:spacing w:before="0" w:after="120" w:line="300" w:lineRule="auto"/>
      </w:pPr>
      <w:r>
        <w:rPr>
          <w:rFonts w:ascii="Georgia" w:hAnsi="Georgia"/>
          <w:b w:val="0"/>
          <w:color w:val="2F2E47"/>
          <w:sz w:val="21"/>
        </w:rPr>
        <w:t>Si las observaciones son subsanables, las partes acuerdan por escrito un plazo para corregirlas. Si vence el plazo de revisión sin observaciones, el producto se tiene por aceptado para efectos de pago.</w:t>
      </w:r>
    </w:p>
    <w:p>
      <w:pPr>
        <w:spacing w:before="0" w:after="120" w:line="300" w:lineRule="auto"/>
      </w:pPr>
      <w:r>
        <w:rPr>
          <w:rFonts w:ascii="Georgia" w:hAnsi="Georgia"/>
          <w:b w:val="0"/>
          <w:color w:val="2F2E47"/>
          <w:sz w:val="21"/>
        </w:rPr>
        <w:t>La aceptación no libera a la Proveedora de su responsabilidad por defectos ocultos ni por infracciones a derechos de terceros.</w:t>
      </w:r>
    </w:p>
    <w:p>
      <w:pPr>
        <w:keepNext/>
        <w:spacing w:before="280" w:after="120" w:line="300" w:lineRule="auto"/>
        <w:pBdr>
          <w:bottom w:val="single" w:sz="6" w:space="4" w:color="D1D0CB"/>
        </w:pBdr>
      </w:pPr>
      <w:r>
        <w:rPr>
          <w:rFonts w:ascii="Safira March" w:hAnsi="Safira March"/>
          <w:color w:val="131237"/>
          <w:sz w:val="28"/>
        </w:rPr>
        <w:t>Sexta. Precio, facturación y tributos</w:t>
      </w:r>
    </w:p>
    <w:p>
      <w:pPr>
        <w:spacing w:before="0" w:after="120" w:line="300" w:lineRule="auto"/>
      </w:pPr>
      <w:r>
        <w:rPr>
          <w:rFonts w:ascii="Georgia" w:hAnsi="Georgia"/>
          <w:b w:val="0"/>
          <w:color w:val="2F2E47"/>
          <w:sz w:val="21"/>
        </w:rPr>
        <w:t>El precio es el fijado en cada orden. La Proveedora emite el comprobante electrónico correspondiente, y la Adquirente paga dentro de los ocho días naturales siguientes a la aceptación y a la recepción del comprobante.</w:t>
      </w:r>
    </w:p>
    <w:p>
      <w:pPr>
        <w:spacing w:before="0" w:after="120" w:line="300" w:lineRule="auto"/>
      </w:pPr>
      <w:r>
        <w:rPr>
          <w:rFonts w:ascii="Georgia" w:hAnsi="Georgia"/>
          <w:b w:val="0"/>
          <w:color w:val="2F2E47"/>
          <w:sz w:val="21"/>
        </w:rPr>
        <w:t>Cada parte cumple las obligaciones tributarias y de seguridad social que le correspondan por ley.</w:t>
      </w:r>
    </w:p>
    <w:p>
      <w:pPr>
        <w:keepNext/>
        <w:spacing w:before="280" w:after="120" w:line="300" w:lineRule="auto"/>
        <w:pBdr>
          <w:bottom w:val="single" w:sz="6" w:space="4" w:color="D1D0CB"/>
        </w:pBdr>
      </w:pPr>
      <w:r>
        <w:rPr>
          <w:rFonts w:ascii="Safira March" w:hAnsi="Safira March"/>
          <w:color w:val="131237"/>
          <w:sz w:val="28"/>
        </w:rPr>
        <w:t>Sétima. Derechos sobre los productos</w:t>
      </w:r>
    </w:p>
    <w:p>
      <w:pPr>
        <w:spacing w:before="0" w:after="120" w:line="300" w:lineRule="auto"/>
      </w:pPr>
      <w:r>
        <w:rPr>
          <w:rFonts w:ascii="Georgia" w:hAnsi="Georgia"/>
          <w:b w:val="0"/>
          <w:color w:val="2F2E47"/>
          <w:sz w:val="21"/>
        </w:rPr>
        <w:t>Cada orden identifica el producto e indica si la Adquirente adquiere los derechos patrimoniales o una licencia de uso. Si la Adquirente requiere ser titular de esos derechos, la orden lo pacta como cesión expresa.</w:t>
      </w:r>
    </w:p>
    <w:p>
      <w:pPr>
        <w:spacing w:before="0" w:after="120" w:line="300" w:lineRule="auto"/>
      </w:pPr>
      <w:r>
        <w:rPr>
          <w:rFonts w:ascii="Georgia" w:hAnsi="Georgia"/>
          <w:b w:val="0"/>
          <w:color w:val="2F2E47"/>
          <w:sz w:val="21"/>
        </w:rPr>
        <w:t>Salvo que la orden disponga otra cosa, la Proveedora concede a la Adquirente una licencia exclusiva, de alcance mundial y por todo el plazo de protección legal, para reproducir, instalar, usar, modificar y adaptar el producto, incluidas sus fórmulas y automatizaciones, en las operaciones de Grupo Poïesis y de sus sedes.</w:t>
      </w:r>
    </w:p>
    <w:p>
      <w:pPr>
        <w:spacing w:before="0" w:after="120" w:line="300" w:lineRule="auto"/>
      </w:pPr>
      <w:r>
        <w:rPr>
          <w:rFonts w:ascii="Georgia" w:hAnsi="Georgia"/>
          <w:b w:val="0"/>
          <w:color w:val="2F2E47"/>
          <w:sz w:val="21"/>
        </w:rPr>
        <w:t>La orden puede ampliar, limitar o precisar los derechos concedidos.</w:t>
      </w:r>
    </w:p>
    <w:p>
      <w:pPr>
        <w:spacing w:before="0" w:after="120" w:line="300" w:lineRule="auto"/>
      </w:pPr>
      <w:r>
        <w:rPr>
          <w:rFonts w:ascii="Georgia" w:hAnsi="Georgia"/>
          <w:b w:val="0"/>
          <w:color w:val="2F2E47"/>
          <w:sz w:val="21"/>
        </w:rPr>
        <w:t>La Proveedora garantiza que tiene derechos suficientes para conceder lo pactado, que los materiales de terceros incorporados cuentan con licencia o son de uso libre, y que cuenta con las autorizaciones de quienes colaboraron en el producto. Al entregar, informa el origen de esos materiales y cualquier restricción de uso.</w:t>
      </w:r>
    </w:p>
    <w:p>
      <w:pPr>
        <w:spacing w:before="0" w:after="120" w:line="300" w:lineRule="auto"/>
      </w:pPr>
      <w:r>
        <w:rPr>
          <w:rFonts w:ascii="Georgia" w:hAnsi="Georgia"/>
          <w:b w:val="0"/>
          <w:color w:val="2F2E47"/>
          <w:sz w:val="21"/>
        </w:rPr>
        <w:t>La entrega del archivo no transmite derechos distintos de los pactados. La Proveedora conserva los derechos morales que la ley le reconoce como autora.</w:t>
      </w:r>
    </w:p>
    <w:p>
      <w:pPr>
        <w:keepNext/>
        <w:spacing w:before="280" w:after="120" w:line="300" w:lineRule="auto"/>
        <w:pBdr>
          <w:bottom w:val="single" w:sz="6" w:space="4" w:color="D1D0CB"/>
        </w:pBdr>
      </w:pPr>
      <w:r>
        <w:rPr>
          <w:rFonts w:ascii="Safira March" w:hAnsi="Safira March"/>
          <w:color w:val="131237"/>
          <w:sz w:val="28"/>
        </w:rPr>
        <w:t>Octava. Confidencialidad y datos personales</w:t>
      </w:r>
    </w:p>
    <w:p>
      <w:pPr>
        <w:spacing w:before="0" w:after="120" w:line="300" w:lineRule="auto"/>
      </w:pPr>
      <w:r>
        <w:rPr>
          <w:rFonts w:ascii="Georgia" w:hAnsi="Georgia"/>
          <w:b w:val="0"/>
          <w:color w:val="2F2E47"/>
          <w:sz w:val="21"/>
        </w:rPr>
        <w:t>La información de la Adquirente a la que la Proveedora acceda por este contrato se utiliza solo para elaborar el producto y no se divulga. Los datos personales se tratan conforme a la ley de protección de datos.</w:t>
      </w:r>
    </w:p>
    <w:p>
      <w:pPr>
        <w:spacing w:before="0" w:after="120" w:line="300" w:lineRule="auto"/>
      </w:pPr>
      <w:r>
        <w:rPr>
          <w:rFonts w:ascii="Georgia" w:hAnsi="Georgia"/>
          <w:b w:val="0"/>
          <w:color w:val="2F2E47"/>
          <w:sz w:val="21"/>
        </w:rPr>
        <w:t>Esta obligación no impide las comunicaciones autorizadas por la ley ni la atención de requerimientos de autoridad competente.</w:t>
      </w:r>
    </w:p>
    <w:p>
      <w:pPr>
        <w:keepNext/>
        <w:spacing w:before="280" w:after="120" w:line="300" w:lineRule="auto"/>
        <w:pBdr>
          <w:bottom w:val="single" w:sz="6" w:space="4" w:color="D1D0CB"/>
        </w:pBdr>
      </w:pPr>
      <w:r>
        <w:rPr>
          <w:rFonts w:ascii="Safira March" w:hAnsi="Safira March"/>
          <w:color w:val="131237"/>
          <w:sz w:val="28"/>
        </w:rPr>
        <w:t>Novena. Incumplimiento</w:t>
      </w:r>
    </w:p>
    <w:p>
      <w:pPr>
        <w:spacing w:before="0" w:after="120" w:line="300" w:lineRule="auto"/>
      </w:pPr>
      <w:r>
        <w:rPr>
          <w:rFonts w:ascii="Georgia" w:hAnsi="Georgia"/>
          <w:b w:val="0"/>
          <w:color w:val="2F2E47"/>
          <w:sz w:val="21"/>
        </w:rPr>
        <w:t>La parte que advierta un incumplimiento lo comunica por escrito, con los hechos y la obligación afectada, y concede un plazo razonable para corregirlo. Si el incumplimiento persiste, puede resolver la orden afectada y reclamar los daños que acredite, conforme a la ley.</w:t>
      </w:r>
    </w:p>
    <w:p>
      <w:pPr>
        <w:spacing w:before="0" w:after="120" w:line="300" w:lineRule="auto"/>
      </w:pPr>
      <w:r>
        <w:rPr>
          <w:rFonts w:ascii="Georgia" w:hAnsi="Georgia"/>
          <w:b w:val="0"/>
          <w:color w:val="2F2E47"/>
          <w:sz w:val="21"/>
        </w:rPr>
        <w:t>Ningún incumplimiento de este contrato, ni su terminación, tiene efectos disciplinarios en la relación laboral.</w:t>
      </w:r>
    </w:p>
    <w:p>
      <w:pPr>
        <w:keepNext/>
        <w:spacing w:before="280" w:after="120" w:line="300" w:lineRule="auto"/>
        <w:pBdr>
          <w:bottom w:val="single" w:sz="6" w:space="4" w:color="D1D0CB"/>
        </w:pBdr>
      </w:pPr>
      <w:r>
        <w:rPr>
          <w:rFonts w:ascii="Safira March" w:hAnsi="Safira March"/>
          <w:color w:val="131237"/>
          <w:sz w:val="28"/>
        </w:rPr>
        <w:t>Décima. Vigencia y terminación</w:t>
      </w:r>
    </w:p>
    <w:p>
      <w:pPr>
        <w:spacing w:before="0" w:after="120" w:line="300" w:lineRule="auto"/>
      </w:pPr>
      <w:r>
        <w:rPr>
          <w:rFonts w:ascii="Georgia" w:hAnsi="Georgia"/>
          <w:b w:val="0"/>
          <w:color w:val="2F2E47"/>
          <w:sz w:val="21"/>
        </w:rPr>
        <w:t>Este contrato rige por un año desde su firma y se prorroga por periodos iguales, salvo aviso escrito de cualquiera de las partes con quince días naturales de anticipación. Las órdenes aceptadas antes del aviso se cumplen en sus términos.</w:t>
      </w:r>
    </w:p>
    <w:p>
      <w:pPr>
        <w:keepNext/>
        <w:spacing w:before="280" w:after="120" w:line="300" w:lineRule="auto"/>
        <w:pBdr>
          <w:bottom w:val="single" w:sz="6" w:space="4" w:color="D1D0CB"/>
        </w:pBdr>
      </w:pPr>
      <w:r>
        <w:rPr>
          <w:rFonts w:ascii="Safira March" w:hAnsi="Safira March"/>
          <w:color w:val="131237"/>
          <w:sz w:val="28"/>
        </w:rPr>
        <w:t>Undécima. Alcance temporal</w:t>
      </w:r>
    </w:p>
    <w:p>
      <w:pPr>
        <w:spacing w:before="0" w:after="120" w:line="300" w:lineRule="auto"/>
      </w:pPr>
      <w:r>
        <w:rPr>
          <w:rFonts w:ascii="Georgia" w:hAnsi="Georgia"/>
          <w:b w:val="0"/>
          <w:color w:val="2F2E47"/>
          <w:sz w:val="21"/>
        </w:rPr>
        <w:t>Este contrato se aplica a las operaciones posteriores a su firma. No modifica ni califica actividades, pagos u obligaciones anteriores, ni implica reconocimiento, renuncia o liquidación de derechos.</w:t>
      </w:r>
    </w:p>
    <w:p>
      <w:pPr>
        <w:keepNext/>
        <w:spacing w:before="280" w:after="120" w:line="300" w:lineRule="auto"/>
        <w:pBdr>
          <w:bottom w:val="single" w:sz="6" w:space="4" w:color="D1D0CB"/>
        </w:pBdr>
      </w:pPr>
      <w:r>
        <w:rPr>
          <w:rFonts w:ascii="Safira March" w:hAnsi="Safira March"/>
          <w:color w:val="131237"/>
          <w:sz w:val="28"/>
        </w:rPr>
        <w:t>Duodécima. Voluntariedad</w:t>
      </w:r>
    </w:p>
    <w:p>
      <w:pPr>
        <w:spacing w:before="0" w:after="120" w:line="300" w:lineRule="auto"/>
      </w:pPr>
      <w:r>
        <w:rPr>
          <w:rFonts w:ascii="Georgia" w:hAnsi="Georgia"/>
          <w:b w:val="0"/>
          <w:color w:val="2F2E47"/>
          <w:sz w:val="21"/>
        </w:rPr>
        <w:t>La Proveedora firma de forma libre y voluntaria, después de contar con el tiempo necesario para revisar, consultar y negociar este contrato. Su negativa a firmarlo, o a aceptar una orden, no tiene consecuencia alguna en su relación laboral.</w:t>
      </w:r>
    </w:p>
    <w:p>
      <w:pPr>
        <w:keepNext/>
        <w:spacing w:before="280" w:after="120" w:line="300" w:lineRule="auto"/>
        <w:pBdr>
          <w:bottom w:val="single" w:sz="6" w:space="4" w:color="D1D0CB"/>
        </w:pBdr>
      </w:pPr>
      <w:r>
        <w:rPr>
          <w:rFonts w:ascii="Safira March" w:hAnsi="Safira March"/>
          <w:color w:val="131237"/>
          <w:sz w:val="28"/>
        </w:rPr>
        <w:t>Decimotercera. Legislación aplicable</w:t>
      </w:r>
    </w:p>
    <w:p>
      <w:pPr>
        <w:spacing w:before="0" w:after="120" w:line="300" w:lineRule="auto"/>
      </w:pPr>
      <w:r>
        <w:rPr>
          <w:rFonts w:ascii="Georgia" w:hAnsi="Georgia"/>
          <w:b w:val="0"/>
          <w:color w:val="2F2E47"/>
          <w:sz w:val="21"/>
        </w:rPr>
        <w:t>Este contrato se rige por el Código Civil, la Ley sobre Derechos de Autor y Derechos Conexos y demás normas aplicables de Costa Rica. Ninguna de sus cláusulas limita el acceso a la jurisdicción laboral ni implica renuncia a derechos irrenunciables.</w:t>
      </w:r>
    </w:p>
    <w:p>
      <w:pPr>
        <w:spacing w:before="0" w:after="120" w:line="300" w:lineRule="auto"/>
      </w:pPr>
      <w:r>
        <w:rPr>
          <w:rFonts w:ascii="Georgia" w:hAnsi="Georgia"/>
          <w:b w:val="0"/>
          <w:color w:val="2F2E47"/>
          <w:sz w:val="21"/>
        </w:rPr>
        <w:t>Firmamos en dos tantos de igual valor, en San José, el ____ de ______________ de 2026.</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2F2E47"/>
                <w:sz w:val="19"/>
              </w:rPr>
              <w:t>______________________________</w:t>
            </w:r>
          </w:p>
        </w:tc>
        <w:tc>
          <w:tcPr>
            <w:tcW w:type="dxa" w:w="4536"/>
          </w:tcPr>
          <w:p>
            <w:pPr>
              <w:spacing w:before="40" w:after="40" w:line="264" w:lineRule="auto"/>
            </w:pPr>
            <w:r>
              <w:rPr>
                <w:rFonts w:ascii="Georgia" w:hAnsi="Georgia"/>
                <w:b w:val="0"/>
                <w:color w:val="2F2E47"/>
                <w:sz w:val="19"/>
              </w:rPr>
              <w:t>______________________________</w:t>
            </w:r>
          </w:p>
        </w:tc>
      </w:tr>
      <w:tr>
        <w:tc>
          <w:tcPr>
            <w:tcW w:type="dxa" w:w="4536"/>
          </w:tcPr>
          <w:p>
            <w:pPr>
              <w:spacing w:before="40" w:after="40" w:line="264" w:lineRule="auto"/>
            </w:pPr>
            <w:r>
              <w:rPr>
                <w:rFonts w:ascii="Georgia" w:hAnsi="Georgia"/>
                <w:b w:val="0"/>
                <w:color w:val="2F2E47"/>
                <w:sz w:val="19"/>
              </w:rPr>
              <w:t>Carlos Fernando Bonilla Cortés</w:t>
            </w:r>
          </w:p>
        </w:tc>
        <w:tc>
          <w:tcPr>
            <w:tcW w:type="dxa" w:w="4536"/>
          </w:tcPr>
          <w:p>
            <w:pPr>
              <w:spacing w:before="40" w:after="40" w:line="264" w:lineRule="auto"/>
            </w:pPr>
            <w:r>
              <w:rPr>
                <w:rFonts w:ascii="Georgia" w:hAnsi="Georgia"/>
                <w:b w:val="0"/>
                <w:color w:val="2F2E47"/>
                <w:sz w:val="19"/>
              </w:rPr>
              <w:t>Angiolette Alcázar Mata</w:t>
            </w:r>
          </w:p>
        </w:tc>
      </w:tr>
      <w:tr>
        <w:tc>
          <w:tcPr>
            <w:tcW w:type="dxa" w:w="4536"/>
          </w:tcPr>
          <w:p>
            <w:pPr>
              <w:spacing w:before="40" w:after="40" w:line="264" w:lineRule="auto"/>
            </w:pPr>
            <w:r>
              <w:rPr>
                <w:rFonts w:ascii="Georgia" w:hAnsi="Georgia"/>
                <w:b w:val="0"/>
                <w:color w:val="2F2E47"/>
                <w:sz w:val="19"/>
              </w:rPr>
              <w:t>Por la Adquirente · Grupo Poïesis</w:t>
            </w:r>
          </w:p>
        </w:tc>
        <w:tc>
          <w:tcPr>
            <w:tcW w:type="dxa" w:w="4536"/>
          </w:tcPr>
          <w:p>
            <w:pPr>
              <w:spacing w:before="40" w:after="40" w:line="264" w:lineRule="auto"/>
            </w:pPr>
            <w:r>
              <w:rPr>
                <w:rFonts w:ascii="Georgia" w:hAnsi="Georgia"/>
                <w:b w:val="0"/>
                <w:color w:val="2F2E47"/>
                <w:sz w:val="19"/>
              </w:rPr>
              <w:t>La Proveedora</w:t>
            </w:r>
          </w:p>
        </w:tc>
      </w:tr>
    </w:tbl>
    <w:p/>
    <w:p>
      <w:r>
        <w:br w:type="page"/>
      </w:r>
    </w:p>
    <w:p>
      <w:pPr>
        <w:keepNext/>
        <w:spacing w:before="280" w:after="120" w:line="300" w:lineRule="auto"/>
        <w:pBdr>
          <w:bottom w:val="single" w:sz="6" w:space="4" w:color="D1D0CB"/>
        </w:pBdr>
      </w:pPr>
      <w:r>
        <w:rPr>
          <w:rFonts w:ascii="Safira March" w:hAnsi="Safira March"/>
          <w:color w:val="131237"/>
          <w:sz w:val="28"/>
        </w:rPr>
        <w:t>Anexo. Modelo de orden de compra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5C6684"/>
                <w:sz w:val="19"/>
              </w:rPr>
              <w:t>Orden n.º</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Fecha</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Producto</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Terminado o por elaborar</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Características y criterios de aceptación</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Documentación y soporte</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Precio</w:t>
            </w:r>
          </w:p>
        </w:tc>
        <w:tc>
          <w:tcPr>
            <w:tcW w:type="dxa" w:w="4536"/>
          </w:tcPr>
          <w:p>
            <w:pPr>
              <w:spacing w:before="40" w:after="40" w:line="264" w:lineRule="auto"/>
            </w:pPr>
            <w:r>
              <w:rPr>
                <w:rFonts w:ascii="Georgia" w:hAnsi="Georgia"/>
                <w:b w:val="0"/>
                <w:color w:val="2F2E47"/>
                <w:sz w:val="19"/>
              </w:rPr>
              <w:t>₡ ______ (con / sin IVA)</w:t>
            </w:r>
          </w:p>
        </w:tc>
      </w:tr>
      <w:tr>
        <w:tc>
          <w:tcPr>
            <w:tcW w:type="dxa" w:w="4536"/>
          </w:tcPr>
          <w:p>
            <w:pPr>
              <w:spacing w:before="40" w:after="40" w:line="264" w:lineRule="auto"/>
            </w:pPr>
            <w:r>
              <w:rPr>
                <w:rFonts w:ascii="Georgia" w:hAnsi="Georgia"/>
                <w:b w:val="0"/>
                <w:color w:val="5C6684"/>
                <w:sz w:val="19"/>
              </w:rPr>
              <w:t>Fecha y canal de entrega</w:t>
            </w:r>
          </w:p>
        </w:tc>
        <w:tc>
          <w:tcPr>
            <w:tcW w:type="dxa" w:w="4536"/>
          </w:tcPr>
          <w:p>
            <w:pPr>
              <w:spacing w:before="40" w:after="40" w:line="264" w:lineRule="auto"/>
            </w:pPr>
          </w:p>
        </w:tc>
      </w:tr>
      <w:tr>
        <w:tc>
          <w:tcPr>
            <w:tcW w:type="dxa" w:w="4536"/>
          </w:tcPr>
          <w:p>
            <w:pPr>
              <w:spacing w:before="40" w:after="40" w:line="264" w:lineRule="auto"/>
            </w:pPr>
            <w:r>
              <w:rPr>
                <w:rFonts w:ascii="Georgia" w:hAnsi="Georgia"/>
                <w:b w:val="0"/>
                <w:color w:val="5C6684"/>
                <w:sz w:val="19"/>
              </w:rPr>
              <w:t>Derechos</w:t>
            </w:r>
          </w:p>
        </w:tc>
        <w:tc>
          <w:tcPr>
            <w:tcW w:type="dxa" w:w="4536"/>
          </w:tcPr>
          <w:p>
            <w:pPr>
              <w:spacing w:before="40" w:after="40" w:line="264" w:lineRule="auto"/>
            </w:pPr>
            <w:r>
              <w:rPr>
                <w:rFonts w:ascii="Georgia" w:hAnsi="Georgia"/>
                <w:b w:val="0"/>
                <w:color w:val="2F2E47"/>
                <w:sz w:val="19"/>
              </w:rPr>
              <w:t>Cesión / licencia · modalidades · exclusividad · territorio · duración</w:t>
            </w:r>
          </w:p>
        </w:tc>
      </w:tr>
      <w:tr>
        <w:tc>
          <w:tcPr>
            <w:tcW w:type="dxa" w:w="4536"/>
          </w:tcPr>
          <w:p>
            <w:pPr>
              <w:spacing w:before="40" w:after="40" w:line="264" w:lineRule="auto"/>
            </w:pPr>
            <w:r>
              <w:rPr>
                <w:rFonts w:ascii="Georgia" w:hAnsi="Georgia"/>
                <w:b w:val="0"/>
                <w:color w:val="5C6684"/>
                <w:sz w:val="19"/>
              </w:rPr>
              <w:t>Uso de instalaciones o recursos</w:t>
            </w:r>
          </w:p>
        </w:tc>
        <w:tc>
          <w:tcPr>
            <w:tcW w:type="dxa" w:w="4536"/>
          </w:tcPr>
          <w:p>
            <w:pPr>
              <w:spacing w:before="40" w:after="40" w:line="264" w:lineRule="auto"/>
            </w:pPr>
            <w:r>
              <w:rPr>
                <w:rFonts w:ascii="Georgia" w:hAnsi="Georgia"/>
                <w:b w:val="0"/>
                <w:color w:val="2F2E47"/>
                <w:sz w:val="19"/>
              </w:rPr>
              <w:t>No / Sí: fecha, horario y recursos</w:t>
            </w:r>
          </w:p>
        </w:tc>
      </w:tr>
      <w:tr>
        <w:tc>
          <w:tcPr>
            <w:tcW w:type="dxa" w:w="4536"/>
          </w:tcPr>
          <w:p>
            <w:pPr>
              <w:spacing w:before="40" w:after="40" w:line="264" w:lineRule="auto"/>
            </w:pPr>
            <w:r>
              <w:rPr>
                <w:rFonts w:ascii="Georgia" w:hAnsi="Georgia"/>
                <w:b w:val="0"/>
                <w:color w:val="5C6684"/>
                <w:sz w:val="19"/>
              </w:rPr>
              <w:t>Aceptación de la Proveedora</w:t>
            </w:r>
          </w:p>
        </w:tc>
        <w:tc>
          <w:tcPr>
            <w:tcW w:type="dxa" w:w="4536"/>
          </w:tcPr>
          <w:p>
            <w:pPr>
              <w:spacing w:before="40" w:after="40" w:line="264" w:lineRule="auto"/>
            </w:pPr>
            <w:r>
              <w:rPr>
                <w:rFonts w:ascii="Georgia" w:hAnsi="Georgia"/>
                <w:b w:val="0"/>
                <w:color w:val="2F2E47"/>
                <w:sz w:val="19"/>
              </w:rPr>
              <w:t>Nombre, firma y fecha</w:t>
            </w:r>
          </w:p>
        </w:tc>
      </w:tr>
      <w:tr>
        <w:tc>
          <w:tcPr>
            <w:tcW w:type="dxa" w:w="4536"/>
          </w:tcPr>
          <w:p>
            <w:pPr>
              <w:spacing w:before="40" w:after="40" w:line="264" w:lineRule="auto"/>
            </w:pPr>
            <w:r>
              <w:rPr>
                <w:rFonts w:ascii="Georgia" w:hAnsi="Georgia"/>
                <w:b w:val="0"/>
                <w:color w:val="5C6684"/>
                <w:sz w:val="19"/>
              </w:rPr>
              <w:t>Aceptación de la Adquirente</w:t>
            </w:r>
          </w:p>
        </w:tc>
        <w:tc>
          <w:tcPr>
            <w:tcW w:type="dxa" w:w="4536"/>
          </w:tcPr>
          <w:p>
            <w:pPr>
              <w:spacing w:before="40" w:after="40" w:line="264" w:lineRule="auto"/>
            </w:pPr>
            <w:r>
              <w:rPr>
                <w:rFonts w:ascii="Georgia" w:hAnsi="Georgia"/>
                <w:b w:val="0"/>
                <w:color w:val="2F2E47"/>
                <w:sz w:val="19"/>
              </w:rPr>
              <w:t>Nombre, firma y fecha</w:t>
            </w:r>
          </w:p>
        </w:tc>
      </w:tr>
    </w:tbl>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