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Los equipos, programas y demás herramientas de trabajo son de la Proveedora, y los productos le pertenecen como autora y titular, salvo los derechos que conceda a la Adquirente conforme a la cláusula sétima.</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 Tampoco se adquieren por esta vía productos elaborados como parte de una tarea asignada en su puesto.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 documentación y el soporte posterior a la entrega, si se pactan.</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editable, con sus fórmulas y automatizaciones accesibles, y una guía breve de uso.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La Adquirente paga a sus proveedores los miércoles o jueves, y cada pago se hace en el primero de esos días posterior a la aceptación del producto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no exclusiva, de alcance mundial y por todo el plazo de protección legal, para reproducir, instalar, usar, modificar y adaptar el producto, incluidas sus fórmulas y automatizaciones, en las operaciones de Grupo Poïesis y de sus sedes.</w:t>
      </w:r>
    </w:p>
    <w:p>
      <w:pPr>
        <w:spacing w:before="0" w:after="120" w:line="300" w:lineRule="auto"/>
      </w:pPr>
      <w:r>
        <w:rPr>
          <w:rFonts w:ascii="Georgia" w:hAnsi="Georgia"/>
          <w:b w:val="0"/>
          <w:color w:val="2F2E47"/>
          <w:sz w:val="21"/>
        </w:rPr>
        <w:t>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Garantiza que los materiales de terceros incorporados, incluidos código, complementos y automatizaciones de terceros,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______________</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