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productos audiovisuales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KRISTELL CARMONA SOTO</w:t>
      </w:r>
      <w:r>
        <w:rPr>
          <w:rFonts w:ascii="Georgia" w:hAnsi="Georgia"/>
          <w:b w:val="0"/>
          <w:color w:val="2F2E47"/>
          <w:sz w:val="21"/>
        </w:rPr>
        <w:t>, cédula de identidad 1-1762-0524, actuando por cuenta propia como creadora audiovisual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productos audiovisuales creados por la Proveedora, como videos y cápsulas,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Los equipos, programas y demás herramientas de trabajo son de la Proveedora, y los productos le pertenecen como autora y titular, salvo los derechos que conceda a la Adquirente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las personas que participan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Instalaciones, participantes y datos</w:t>
      </w:r>
    </w:p>
    <w:p>
      <w:pPr>
        <w:spacing w:before="0" w:after="120" w:line="300" w:lineRule="auto"/>
      </w:pPr>
      <w:r>
        <w:rPr>
          <w:rFonts w:ascii="Georgia" w:hAnsi="Georgia"/>
          <w:b w:val="0"/>
          <w:color w:val="2F2E47"/>
          <w:sz w:val="21"/>
        </w:rPr>
        <w:t>Si un producto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Cada persona que participa lo hace de forma voluntaria y con autorización escrita para el uso de su imagen, su voz y su intervención, y cede o licencia sus aportes creativos cuando los haya. La Proveedora gestiona esas autorizaciones y las entrega con el producto.</w:t>
      </w:r>
    </w:p>
    <w:p>
      <w:pPr>
        <w:spacing w:before="0" w:after="120" w:line="300" w:lineRule="auto"/>
      </w:pPr>
      <w:r>
        <w:rPr>
          <w:rFonts w:ascii="Georgia" w:hAnsi="Georgia"/>
          <w:b w:val="0"/>
          <w:color w:val="2F2E47"/>
          <w:sz w:val="21"/>
        </w:rPr>
        <w:t>Ningún paciente participa ni aparece en los productos,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y las autorizaciones pactados. El plazo de revisión corre desde que el producto completo queda disponible en ese canal, con constancia del envío. Si un archivo no se puede abrir o está incompleto, la Adquirente lo comunica dentro de los dos días hábiles siguientes, y el plazo corre desde el nuevo envío.</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correspondiente. La Adquirente paga a sus proveedores los miércoles o jueves, y cada pago se hace en el primero de esos días posterior a la aceptación del producto y a la recepción del comprobante.</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producto,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Participantes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1-1762-0524</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