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300" w:lineRule="auto"/>
        <w:jc w:val="center"/>
      </w:pPr>
      <w:r>
        <w:rPr>
          <w:rFonts w:ascii="Safira March" w:hAnsi="Safira March"/>
          <w:color w:val="131237"/>
          <w:sz w:val="48"/>
        </w:rPr>
        <w:t>Expediente de cada compra</w:t>
      </w:r>
    </w:p>
    <w:p>
      <w:pPr>
        <w:spacing w:before="120" w:after="120" w:line="300" w:lineRule="auto"/>
        <w:jc w:val="center"/>
      </w:pPr>
      <w:r>
        <w:rPr>
          <w:rFonts w:ascii="Georgia" w:hAnsi="Georgia"/>
          <w:b/>
          <w:color w:val="131237"/>
          <w:sz w:val="22"/>
        </w:rPr>
        <w:t>Contratos marco de productos · Uso interno de la Dirección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Cada compra hecha con un contrato marco tiene su propio expediente, en una carpeta digital con el nombre de la proveedora y el número de orden. Un expediente completo permite demostrar, si alguna vez hace falta, que la compra fue lo que el contrato dice.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Antes de la compra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Oferta de la proveedora o propuesta de Poïesis, por escrito.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Orden de compra firmada por ambas partes, con el modelo del anexo 1 del contrato.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Constancia de inscripción de la proveedora ante Hacienda (anexo 2), vigente y con una actividad acorde al producto.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se usan instalaciones, equipos o la marca de Poïesis: la autorización que consta en la orden, con fecha, horario y recursos.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Durante la elaboración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comunicaciones de la compra se hacen en el canal de la orden, porque forman parte de una relación comercial.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No se dan instrucciones de ejecución ni se fijan plazos fuera de los pactados en la orden.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elaboración ocurre fuera de la jornada laboral. Si se graba en la clínica, el horario queda en la orden.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Cuatro hechos que se anotan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cada expediente se anota, con lo que se sabe en ese momento: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se elaboró fuera de la jornada laboral.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la proveedora decidió cómo hacerlo.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el producto formaba parte de las tareas de su puesto.</w:t>
      </w:r>
    </w:p>
    <w:p>
      <w:pPr>
        <w:pStyle w:val="ListNumber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Si tenía los derechos que concedió, incluidos los de música, imágenes, código o aportes de otras personas.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Si el producto es de la misma clase que otros pagados antes de la firma del contrato, se anota cómo se pagaban y si alguna condición laboral cambió.</w:t>
      </w:r>
    </w:p>
    <w:p>
      <w:pPr>
        <w:spacing w:before="0" w:after="120" w:line="300" w:lineRule="auto"/>
      </w:pPr>
      <w:r>
        <w:rPr>
          <w:rFonts w:ascii="Georgia" w:hAnsi="Georgia"/>
          <w:b w:val="0"/>
          <w:color w:val="2F2E47"/>
          <w:sz w:val="21"/>
        </w:rPr>
        <w:t>En las herramientas digitales se anota además quién concibió la herramienta, con qué recursos se desarrolló y qué información usa.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Entrega y pago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envío registrado en el canal designado: fecha de entrega y archivos recibidos.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Las autorizaciones de participantes y las licencias de materiales de terceros.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La aceptación o las observaciones, dentro de los cinco días hábiles.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pago, en el día de pago a proveedores, miércoles o jueves, a más tardar el jueves siguiente a la aceptación y al comprobante.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El comprobante electrónico de la proveedora y el comprobante de pago.</w:t>
      </w:r>
    </w:p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Responsables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536"/>
        <w:gridCol w:w="4536"/>
      </w:tblGrid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Aprueba cada orden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Dirección General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Recibe y revisa el producto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Persona designada en la orden</w:t>
            </w:r>
          </w:p>
        </w:tc>
      </w:tr>
      <w:tr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5C6684"/>
                <w:sz w:val="19"/>
              </w:rPr>
              <w:t>Archiva el expediente</w:t>
            </w:r>
          </w:p>
        </w:tc>
        <w:tc>
          <w:tcPr>
            <w:tcW w:type="dxa" w:w="4536"/>
          </w:tcPr>
          <w:p>
            <w:pPr>
              <w:spacing w:before="40" w:after="40" w:line="264" w:lineRule="auto"/>
            </w:pPr>
            <w:r>
              <w:rPr>
                <w:rFonts w:ascii="Georgia" w:hAnsi="Georgia"/>
                <w:b w:val="0"/>
                <w:color w:val="2F2E47"/>
                <w:sz w:val="19"/>
              </w:rPr>
              <w:t>Administración</w:t>
            </w:r>
          </w:p>
        </w:tc>
      </w:tr>
    </w:tbl>
    <w:p/>
    <w:p>
      <w:pPr>
        <w:keepNext/>
        <w:spacing w:before="280" w:after="120" w:line="300" w:lineRule="auto"/>
        <w:pBdr>
          <w:bottom w:val="single" w:sz="6" w:space="4" w:color="D1D0CB"/>
        </w:pBdr>
      </w:pPr>
      <w:r>
        <w:rPr>
          <w:rFonts w:ascii="Safira March" w:hAnsi="Safira March"/>
          <w:color w:val="131237"/>
          <w:sz w:val="28"/>
        </w:rPr>
        <w:t>Lo que se evita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Pagar por esta vía un producto que formó parte de una tarea asignada en el puesto.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Tramitar estas compras en la planilla o mezclar sus mensajes con los de la jornada.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Recurrir a declaraciones de independencia que no describan cómo se hizo el trabajo.</w:t>
      </w:r>
    </w:p>
    <w:p>
      <w:pPr>
        <w:pStyle w:val="ListBullet"/>
        <w:spacing w:before="0" w:after="60" w:line="300" w:lineRule="auto"/>
      </w:pPr>
      <w:r>
        <w:rPr>
          <w:rFonts w:ascii="Georgia" w:hAnsi="Georgia"/>
          <w:b w:val="0"/>
          <w:color w:val="2F2E47"/>
          <w:sz w:val="21"/>
        </w:rPr>
        <w:t>Cambiar de canal solo para aparentar autonomía: el canal comercial se usa porque la operación es comercial.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584" w:bottom="1296" w:left="15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rFonts w:ascii="Georgia" w:hAnsi="Georgia"/>
        <w:b w:val="0"/>
        <w:color w:val="5C6684"/>
        <w:sz w:val="17"/>
      </w:rPr>
      <w:t xml:space="preserve">Página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PAGE</w:instrText>
    </w:r>
    <w:r>
      <w:rPr>
        <w:color w:val="5C6684"/>
        <w:sz w:val="17"/>
      </w:rPr>
      <w:fldChar w:fldCharType="end"/>
    </w:r>
    <w:r>
      <w:rPr>
        <w:rFonts w:ascii="Georgia" w:hAnsi="Georgia"/>
        <w:b w:val="0"/>
        <w:color w:val="5C6684"/>
        <w:sz w:val="17"/>
      </w:rPr>
      <w:t xml:space="preserve"> de </w:t>
    </w:r>
    <w:r>
      <w:rPr>
        <w:color w:val="5C6684"/>
        <w:sz w:val="17"/>
      </w:rPr>
      <w:fldChar w:fldCharType="begin"/>
    </w:r>
    <w:r>
      <w:rPr>
        <w:color w:val="5C6684"/>
        <w:sz w:val="17"/>
      </w:rPr>
      <w:instrText xml:space="preserve">NUMPAGES</w:instrText>
    </w:r>
    <w:r>
      <w:rPr>
        <w:color w:val="5C6684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Georgia" w:hAnsi="Georgia"/>
        <w:b w:val="0"/>
        <w:color w:val="5C6684"/>
        <w:sz w:val="17"/>
      </w:rPr>
      <w:t>Grupo Poïesis · Confidencial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Georgia" w:hAnsi="Georgia"/>
      <w:color w:val="2F2E47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F2E47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5C6684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2F2E47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5C6684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131237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131237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5C6684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F2E47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5C6684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2F2E47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5C6684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5C6684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5C6684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5C6684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5C6684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5C6684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5C6684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131237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5C6684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2F2E47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5C6684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C6684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5C6684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5C6684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D1D0CB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1D0CB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D1D0CB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D1D0CB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1D0CB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1D0CB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D1D0CB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D0CB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background1" w:themeFillShade="D8"/>
      </w:tcPr>
    </w:tblStylePr>
    <w:tblStylePr w:type="band1Horz">
      <w:tblPr/>
      <w:tcPr>
        <w:shd w:val="clear" w:color="auto" w:fill="D1D0CB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D1D0CB" w:themeFill="accent3" w:themeFillTint="3F"/>
      </w:tcPr>
    </w:tblStylePr>
    <w:tblStylePr w:type="band1Horz">
      <w:tblPr/>
      <w:tcPr>
        <w:shd w:val="clear" w:color="auto" w:fill="D1D0CB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1D0CB" w:themeFill="accent5" w:themeFillTint="3F"/>
      </w:tcPr>
    </w:tblStylePr>
    <w:tblStylePr w:type="band1Horz">
      <w:tblPr/>
      <w:tcPr>
        <w:shd w:val="clear" w:color="auto" w:fill="D1D0CB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2F2E47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D1D0CB" w:themeFill="accent6" w:themeFillTint="3F"/>
      </w:tcPr>
    </w:tblStylePr>
    <w:tblStylePr w:type="band1Horz">
      <w:tblPr/>
      <w:tcPr>
        <w:shd w:val="clear" w:color="auto" w:fill="D1D0CB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D0CB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color w:val="131237" w:themeColor="text1"/>
      </w:rPr>
      <w:tblPr/>
      <w:tcPr>
        <w:shd w:val="clear" w:color="auto" w:fill="D1D0CB" w:themeFill="tex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3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5C6684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1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3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D1D0C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2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3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1D0CB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3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3" w:themeFillTint="33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D1D0CB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4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3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D1D0CB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5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5" w:themeFillTint="33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D1D0CB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131237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color w:val="131237" w:themeColor="text1"/>
      </w:rPr>
      <w:tblPr/>
      <w:tcPr>
        <w:shd w:val="clear" w:color="auto" w:fill="FFFFFF" w:themeFill="accent6" w:themeFillTint="19"/>
      </w:tcPr>
    </w:tblStylePr>
    <w:tblStylePr w:type="lastRow">
      <w:rPr>
        <w:b/>
        <w:bCs/>
        <w:color w:val="131237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131237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accent6" w:themeFillTint="33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D1D0CB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131237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131237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5C6684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5C6684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C6684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C6684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1D0CB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1D0CB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1D0CB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1D0CB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1D0CB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131237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31237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2F2E47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5C6684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131237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F2E4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C6684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31237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131237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66"/>
      </w:tcPr>
    </w:tblStylePr>
    <w:tblStylePr w:type="band1Horz">
      <w:tblPr/>
      <w:tcPr>
        <w:shd w:val="clear" w:color="auto" w:fill="5C6684" w:themeFill="tex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F2E47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1" w:themeFillShade="99"/>
      </w:tcPr>
    </w:tblStylePr>
    <w:tblStylePr w:type="band1Vert">
      <w:tblPr/>
      <w:tcPr>
        <w:shd w:val="clear" w:color="auto" w:fill="D1D0CB" w:themeFill="accent1" w:themeFillTint="66"/>
      </w:tcPr>
    </w:tblStylePr>
    <w:tblStylePr w:type="band1Horz">
      <w:tblPr/>
      <w:tcPr>
        <w:shd w:val="clear" w:color="auto" w:fill="D1D0CB" w:themeFill="accent1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2F2E4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2" w:themeFillShade="99"/>
      </w:tcPr>
    </w:tblStylePr>
    <w:tblStylePr w:type="band1Vert">
      <w:tblPr/>
      <w:tcPr>
        <w:shd w:val="clear" w:color="auto" w:fill="D1D0CB" w:themeFill="accent2" w:themeFillTint="66"/>
      </w:tcPr>
    </w:tblStylePr>
    <w:tblStylePr w:type="band1Horz">
      <w:tblPr/>
      <w:tcPr>
        <w:shd w:val="clear" w:color="auto" w:fill="D1D0CB" w:themeFill="accent2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C6684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3" w:themeFillShade="99"/>
      </w:tcPr>
    </w:tblStylePr>
    <w:tblStylePr w:type="band1Vert">
      <w:tblPr/>
      <w:tcPr>
        <w:shd w:val="clear" w:color="auto" w:fill="D1D0CB" w:themeFill="accent3" w:themeFillTint="66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F2E47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2F2E47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F2E47" w:themeFill="accent4" w:themeFillShade="99"/>
      </w:tcPr>
    </w:tblStylePr>
    <w:tblStylePr w:type="band1Vert">
      <w:tblPr/>
      <w:tcPr>
        <w:shd w:val="clear" w:color="auto" w:fill="D1D0CB" w:themeFill="accent4" w:themeFillTint="66"/>
      </w:tcPr>
    </w:tblStylePr>
    <w:tblStylePr w:type="band1Horz">
      <w:tblPr/>
      <w:tcPr>
        <w:shd w:val="clear" w:color="auto" w:fill="D1D0CB" w:themeFill="accent4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5C6684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5" w:themeFillShade="99"/>
      </w:tcPr>
    </w:tblStylePr>
    <w:tblStylePr w:type="band1Vert">
      <w:tblPr/>
      <w:tcPr>
        <w:shd w:val="clear" w:color="auto" w:fill="D1D0CB" w:themeFill="accent5" w:themeFillTint="66"/>
      </w:tcPr>
    </w:tblStylePr>
    <w:tblStylePr w:type="band1Horz">
      <w:tblPr/>
      <w:tcPr>
        <w:shd w:val="clear" w:color="auto" w:fill="D1D0CB" w:themeFill="accent5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6684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5C6684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6684" w:themeFill="accent6" w:themeFillShade="99"/>
      </w:tcPr>
    </w:tblStylePr>
    <w:tblStylePr w:type="band1Vert">
      <w:tblPr/>
      <w:tcPr>
        <w:shd w:val="clear" w:color="auto" w:fill="D1D0CB" w:themeFill="accent6" w:themeFillTint="66"/>
      </w:tcPr>
    </w:tblStylePr>
    <w:tblStylePr w:type="band1Horz">
      <w:tblPr/>
      <w:tcPr>
        <w:shd w:val="clear" w:color="auto" w:fill="D1D0CB" w:themeFill="accent6" w:themeFillTint="7F"/>
      </w:tcPr>
    </w:tblStylePr>
    <w:tblStylePr w:type="neCell">
      <w:rPr>
        <w:color w:val="131237" w:themeColor="text1"/>
      </w:rPr>
    </w:tblStylePr>
    <w:tblStylePr w:type="nwCell">
      <w:rPr>
        <w:color w:val="131237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text1" w:themeFillTint="3F"/>
      </w:tcPr>
    </w:tblStylePr>
    <w:tblStylePr w:type="band1Horz">
      <w:tblPr/>
      <w:tcPr>
        <w:shd w:val="clear" w:color="auto" w:fill="D1D0CB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1" w:themeFillTint="3F"/>
      </w:tcPr>
    </w:tblStylePr>
    <w:tblStylePr w:type="band1Horz">
      <w:tblPr/>
      <w:tcPr>
        <w:shd w:val="clear" w:color="auto" w:fill="D1D0CB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2" w:themeFillShade="CC"/>
      </w:tcPr>
    </w:tblStylePr>
    <w:tblStylePr w:type="lastRow">
      <w:rPr>
        <w:b/>
        <w:bCs/>
        <w:color w:val="5C6684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2" w:themeFillTint="3F"/>
      </w:tcPr>
    </w:tblStylePr>
    <w:tblStylePr w:type="band1Horz">
      <w:tblPr/>
      <w:tcPr>
        <w:shd w:val="clear" w:color="auto" w:fill="D1D0C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4" w:themeFillShade="CC"/>
      </w:tcPr>
    </w:tblStylePr>
    <w:tblStylePr w:type="lastRow">
      <w:rPr>
        <w:b/>
        <w:bCs/>
        <w:color w:val="5C6684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3" w:themeFillTint="3F"/>
      </w:tcPr>
    </w:tblStylePr>
    <w:tblStylePr w:type="band1Horz">
      <w:tblPr/>
      <w:tcPr>
        <w:shd w:val="clear" w:color="auto" w:fill="FFFFFF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3" w:themeFillShade="CC"/>
      </w:tcPr>
    </w:tblStylePr>
    <w:tblStylePr w:type="lastRow">
      <w:rPr>
        <w:b/>
        <w:bCs/>
        <w:color w:val="5C6684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4" w:themeFillTint="3F"/>
      </w:tcPr>
    </w:tblStylePr>
    <w:tblStylePr w:type="band1Horz">
      <w:tblPr/>
      <w:tcPr>
        <w:shd w:val="clear" w:color="auto" w:fill="D1D0CB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6" w:themeFillShade="CC"/>
      </w:tcPr>
    </w:tblStylePr>
    <w:tblStylePr w:type="lastRow">
      <w:rPr>
        <w:b/>
        <w:bCs/>
        <w:color w:val="5C6684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5" w:themeFillTint="3F"/>
      </w:tcPr>
    </w:tblStylePr>
    <w:tblStylePr w:type="band1Horz">
      <w:tblPr/>
      <w:tcPr>
        <w:shd w:val="clear" w:color="auto" w:fill="FFFFFF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5C6684" w:themeFill="accent5" w:themeFillShade="CC"/>
      </w:tcPr>
    </w:tblStylePr>
    <w:tblStylePr w:type="lastRow">
      <w:rPr>
        <w:b/>
        <w:bCs/>
        <w:color w:val="5C6684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D0CB" w:themeFill="accent6" w:themeFillTint="3F"/>
      </w:tcPr>
    </w:tblStylePr>
    <w:tblStylePr w:type="band1Horz">
      <w:tblPr/>
      <w:tcPr>
        <w:shd w:val="clear" w:color="auto" w:fill="FFFFFF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text1" w:themeFillTint="33"/>
    </w:tcPr>
    <w:tblStylePr w:type="firstRow">
      <w:rPr>
        <w:b/>
        <w:bCs/>
      </w:rPr>
      <w:tblPr/>
      <w:tcPr>
        <w:shd w:val="clear" w:color="auto" w:fill="5C6684" w:themeFill="tex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5C6684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31237" w:themeFill="text1" w:themeFillShade="BF"/>
      </w:tcPr>
    </w:tblStylePr>
    <w:tblStylePr w:type="band1Vert">
      <w:tblPr/>
      <w:tcPr>
        <w:shd w:val="clear" w:color="auto" w:fill="5C6684" w:themeFill="text1" w:themeFillTint="7F"/>
      </w:tcPr>
    </w:tblStylePr>
    <w:tblStylePr w:type="band1Horz">
      <w:tblPr/>
      <w:tcPr>
        <w:shd w:val="clear" w:color="auto" w:fill="5C6684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1" w:themeFillTint="33"/>
    </w:tcPr>
    <w:tblStylePr w:type="firstRow">
      <w:rPr>
        <w:b/>
        <w:bCs/>
      </w:rPr>
      <w:tblPr/>
      <w:tcPr>
        <w:shd w:val="clear" w:color="auto" w:fill="D1D0CB" w:themeFill="accent1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1" w:themeFillShade="BF"/>
      </w:tcPr>
    </w:tblStylePr>
    <w:tblStylePr w:type="band1Vert">
      <w:tblPr/>
      <w:tcPr>
        <w:shd w:val="clear" w:color="auto" w:fill="D1D0CB" w:themeFill="accent1" w:themeFillTint="7F"/>
      </w:tcPr>
    </w:tblStylePr>
    <w:tblStylePr w:type="band1Horz">
      <w:tblPr/>
      <w:tcPr>
        <w:shd w:val="clear" w:color="auto" w:fill="D1D0CB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2" w:themeFillTint="33"/>
    </w:tcPr>
    <w:tblStylePr w:type="firstRow">
      <w:rPr>
        <w:b/>
        <w:bCs/>
      </w:rPr>
      <w:tblPr/>
      <w:tcPr>
        <w:shd w:val="clear" w:color="auto" w:fill="D1D0CB" w:themeFill="accent2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2F2E47" w:themeFill="accent2" w:themeFillShade="BF"/>
      </w:tcPr>
    </w:tblStylePr>
    <w:tblStylePr w:type="band1Vert">
      <w:tblPr/>
      <w:tcPr>
        <w:shd w:val="clear" w:color="auto" w:fill="D1D0CB" w:themeFill="accent2" w:themeFillTint="7F"/>
      </w:tcPr>
    </w:tblStylePr>
    <w:tblStylePr w:type="band1Horz">
      <w:tblPr/>
      <w:tcPr>
        <w:shd w:val="clear" w:color="auto" w:fill="D1D0CB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3" w:themeFillTint="33"/>
    </w:tcPr>
    <w:tblStylePr w:type="firstRow">
      <w:rPr>
        <w:b/>
        <w:bCs/>
      </w:rPr>
      <w:tblPr/>
      <w:tcPr>
        <w:shd w:val="clear" w:color="auto" w:fill="D1D0CB" w:themeFill="accent3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3" w:themeFillShade="BF"/>
      </w:tcPr>
    </w:tblStylePr>
    <w:tblStylePr w:type="band1Vert">
      <w:tblPr/>
      <w:tcPr>
        <w:shd w:val="clear" w:color="auto" w:fill="D1D0CB" w:themeFill="accent3" w:themeFillTint="7F"/>
      </w:tcPr>
    </w:tblStylePr>
    <w:tblStylePr w:type="band1Horz">
      <w:tblPr/>
      <w:tcPr>
        <w:shd w:val="clear" w:color="auto" w:fill="D1D0CB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1D0CB" w:themeFill="accent4" w:themeFillTint="33"/>
    </w:tcPr>
    <w:tblStylePr w:type="firstRow">
      <w:rPr>
        <w:b/>
        <w:bCs/>
      </w:rPr>
      <w:tblPr/>
      <w:tcPr>
        <w:shd w:val="clear" w:color="auto" w:fill="D1D0CB" w:themeFill="accent4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4" w:themeFillShade="BF"/>
      </w:tcPr>
    </w:tblStylePr>
    <w:tblStylePr w:type="band1Vert">
      <w:tblPr/>
      <w:tcPr>
        <w:shd w:val="clear" w:color="auto" w:fill="D1D0CB" w:themeFill="accent4" w:themeFillTint="7F"/>
      </w:tcPr>
    </w:tblStylePr>
    <w:tblStylePr w:type="band1Horz">
      <w:tblPr/>
      <w:tcPr>
        <w:shd w:val="clear" w:color="auto" w:fill="D1D0CB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5" w:themeFillTint="33"/>
    </w:tcPr>
    <w:tblStylePr w:type="firstRow">
      <w:rPr>
        <w:b/>
        <w:bCs/>
      </w:rPr>
      <w:tblPr/>
      <w:tcPr>
        <w:shd w:val="clear" w:color="auto" w:fill="D1D0CB" w:themeFill="accent5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5" w:themeFillShade="BF"/>
      </w:tcPr>
    </w:tblStylePr>
    <w:tblStylePr w:type="band1Vert">
      <w:tblPr/>
      <w:tcPr>
        <w:shd w:val="clear" w:color="auto" w:fill="D1D0CB" w:themeFill="accent5" w:themeFillTint="7F"/>
      </w:tcPr>
    </w:tblStylePr>
    <w:tblStylePr w:type="band1Horz">
      <w:tblPr/>
      <w:tcPr>
        <w:shd w:val="clear" w:color="auto" w:fill="D1D0CB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131237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FFFFF" w:themeFill="accent6" w:themeFillTint="33"/>
    </w:tcPr>
    <w:tblStylePr w:type="firstRow">
      <w:rPr>
        <w:b/>
        <w:bCs/>
      </w:rPr>
      <w:tblPr/>
      <w:tcPr>
        <w:shd w:val="clear" w:color="auto" w:fill="D1D0CB" w:themeFill="accent6" w:themeFillTint="66"/>
      </w:tcPr>
    </w:tblStylePr>
    <w:tblStylePr w:type="lastRow">
      <w:rPr>
        <w:b/>
        <w:bCs/>
        <w:color w:val="131237" w:themeColor="text1"/>
      </w:rPr>
      <w:tblPr/>
      <w:tcPr>
        <w:shd w:val="clear" w:color="auto" w:fill="D1D0CB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5C6684" w:themeFill="accent6" w:themeFillShade="BF"/>
      </w:tcPr>
    </w:tblStylePr>
    <w:tblStylePr w:type="band1Vert">
      <w:tblPr/>
      <w:tcPr>
        <w:shd w:val="clear" w:color="auto" w:fill="D1D0CB" w:themeFill="accent6" w:themeFillTint="7F"/>
      </w:tcPr>
    </w:tblStylePr>
    <w:tblStylePr w:type="band1Horz">
      <w:tblPr/>
      <w:tcPr>
        <w:shd w:val="clear" w:color="auto" w:fill="D1D0CB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131237"/>
      </a:dk1>
      <a:lt1>
        <a:sysClr val="window" lastClr="FFFFFF"/>
      </a:lt1>
      <a:dk2>
        <a:srgbClr val="2F2E47"/>
      </a:dk2>
      <a:lt2>
        <a:srgbClr val="FFFFFF"/>
      </a:lt2>
      <a:accent1>
        <a:srgbClr val="5C6684"/>
      </a:accent1>
      <a:accent2>
        <a:srgbClr val="5C6684"/>
      </a:accent2>
      <a:accent3>
        <a:srgbClr val="5C6684"/>
      </a:accent3>
      <a:accent4>
        <a:srgbClr val="5C6684"/>
      </a:accent4>
      <a:accent5>
        <a:srgbClr val="5C6684"/>
      </a:accent5>
      <a:accent6>
        <a:srgbClr val="D1D0CB"/>
      </a:accent6>
      <a:hlink>
        <a:srgbClr val="5C6684"/>
      </a:hlink>
      <a:folHlink>
        <a:srgbClr val="5C6684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131237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131237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