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episodios de podcast</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FIORELLA MARÍA VARELA MONGE</w:t>
      </w:r>
      <w:r>
        <w:rPr>
          <w:rFonts w:ascii="Georgia" w:hAnsi="Georgia"/>
          <w:b w:val="0"/>
          <w:color w:val="2F2E47"/>
          <w:sz w:val="21"/>
        </w:rPr>
        <w:t>, cédula de identidad 1-1867-0233, actuando por cuenta propia como creadora de contenido independiente,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episodios de podcast creados por la Proveedora,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Las operaciones de este contrato son distintas de las funciones del puesto. La Proveedora las ejecuta fuera de su jornada laboral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La Proveedora trabaja con equipos propios o legítimamente a su disposición. Los programas, complementos y materiales de terceros que utilice siguen sujetos a los derechos de sus titulares. La Proveedora es titular de sus creaciones originales, y la Adquirente recibe solo los derechos que se conceden conforme a la cláusula sétima.</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La constancia de inscripción de la Proveedora ante el Ministerio de Hacienda forma parte de este contrato como anexo 2.</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los temas, las personas invitadas y las autorizaciones requeridas.</w:t>
      </w:r>
    </w:p>
    <w:p>
      <w:pPr>
        <w:spacing w:before="0" w:after="120" w:line="300" w:lineRule="auto"/>
      </w:pPr>
      <w:r>
        <w:rPr>
          <w:rFonts w:ascii="Georgia" w:hAnsi="Georgia"/>
          <w:b w:val="0"/>
          <w:color w:val="2F2E47"/>
          <w:sz w:val="21"/>
        </w:rPr>
        <w:t>No existe un número mínimo de órdenes ni un pago periódico garantizado.</w:t>
      </w:r>
    </w:p>
    <w:p>
      <w:pPr>
        <w:keepNext/>
        <w:spacing w:before="280" w:after="120" w:line="300" w:lineRule="auto"/>
        <w:pBdr>
          <w:bottom w:val="single" w:sz="6" w:space="4" w:color="D1D0CB"/>
        </w:pBdr>
      </w:pPr>
      <w:r>
        <w:rPr>
          <w:rFonts w:ascii="Safira March" w:hAnsi="Safira March"/>
          <w:color w:val="131237"/>
          <w:sz w:val="28"/>
        </w:rPr>
        <w:t>Cuarta. Grabación, invitados y datos</w:t>
      </w:r>
    </w:p>
    <w:p>
      <w:pPr>
        <w:spacing w:before="0" w:after="120" w:line="300" w:lineRule="auto"/>
      </w:pPr>
      <w:r>
        <w:rPr>
          <w:rFonts w:ascii="Georgia" w:hAnsi="Georgia"/>
          <w:b w:val="0"/>
          <w:color w:val="2F2E47"/>
          <w:sz w:val="21"/>
        </w:rPr>
        <w:t>Si un episodio requiere grabar en instalaciones de la Adquirente, o usar sus equipos o su marca, la autorización consta por escrito en la orden, con fecha, horario y recursos, fuera de la jornada laboral de la Proveedora.</w:t>
      </w:r>
    </w:p>
    <w:p>
      <w:pPr>
        <w:spacing w:before="0" w:after="120" w:line="300" w:lineRule="auto"/>
      </w:pPr>
      <w:r>
        <w:rPr>
          <w:rFonts w:ascii="Georgia" w:hAnsi="Georgia"/>
          <w:b w:val="0"/>
          <w:color w:val="2F2E47"/>
          <w:sz w:val="21"/>
        </w:rPr>
        <w:t>La Proveedora organiza la grabación y la edición. Cuando el episodio se publica con la marca de la Adquirente, los temas y las personas invitadas se acuerdan en la orden, y la Adquirente revisa el contenido antes de publicarlo.</w:t>
      </w:r>
    </w:p>
    <w:p>
      <w:pPr>
        <w:spacing w:before="0" w:after="120" w:line="300" w:lineRule="auto"/>
      </w:pPr>
      <w:r>
        <w:rPr>
          <w:rFonts w:ascii="Georgia" w:hAnsi="Georgia"/>
          <w:b w:val="0"/>
          <w:color w:val="2F2E47"/>
          <w:sz w:val="21"/>
        </w:rPr>
        <w:t>Cada persona invitada participa de forma voluntaria y con autorización escrita para el uso de su voz, su imagen y su intervención, y cede o licencia sus aportes creativos cuando los haya. La Proveedora gestiona esas autorizaciones y las entrega con el episodio.</w:t>
      </w:r>
    </w:p>
    <w:p>
      <w:pPr>
        <w:spacing w:before="0" w:after="120" w:line="300" w:lineRule="auto"/>
      </w:pPr>
      <w:r>
        <w:rPr>
          <w:rFonts w:ascii="Georgia" w:hAnsi="Georgia"/>
          <w:b w:val="0"/>
          <w:color w:val="2F2E47"/>
          <w:sz w:val="21"/>
        </w:rPr>
        <w:t>Ningún paciente participa en los episodios, no se mencionan casos identificables y no se utiliza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se hace en el correo o la carpeta digital que designe la orden, y es completa cuando comprende el archivo final, la música y demás materiales con su licencia, y las autorizaciones pactados. El plazo de revisión corre desde que el producto completo queda disponible en ese canal, con constancia del envío. Si un archivo no se puede abrir o está incompleto, la Adquirente lo comunica dentro de los dos días hábiles siguientes, y el plazo corre desde el nuevo envío.</w:t>
      </w:r>
    </w:p>
    <w:p>
      <w:pPr>
        <w:spacing w:before="0" w:after="120" w:line="300" w:lineRule="auto"/>
      </w:pPr>
      <w:r>
        <w:rPr>
          <w:rFonts w:ascii="Georgia" w:hAnsi="Georgia"/>
          <w:b w:val="0"/>
          <w:color w:val="2F2E47"/>
          <w:sz w:val="21"/>
        </w:rPr>
        <w:t>Durante el plazo de revisión, de cinco días hábiles, la Adquirente acepta el producto o formula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ni por infracciones a derechos de terceros.</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y es exigible cuando el producto está aceptado y la Adquirente ha recibido el comprobante electrónico correspondiente. La Adquirente paga en sus días de pago a proveedores, miércoles o jueves, a más tardar el jueves inmediato siguiente a la fecha en que se cumplan ambas condiciones. Si ese día es feriado, el pago se hace el día hábil siguiente.</w:t>
      </w:r>
    </w:p>
    <w:p>
      <w:pPr>
        <w:spacing w:before="0" w:after="120" w:line="300" w:lineRule="auto"/>
      </w:pPr>
      <w:r>
        <w:rPr>
          <w:rFonts w:ascii="Georgia" w:hAnsi="Georgia"/>
          <w:b w:val="0"/>
          <w:color w:val="2F2E47"/>
          <w:sz w:val="21"/>
        </w:rPr>
        <w:t>Si el comprobante contiene un error, la Adquirente lo comunica dentro de los dos días hábiles siguientes a su recepción, y el plazo de pago corre desde que recibe el comprobante corregido.</w:t>
      </w:r>
    </w:p>
    <w:p>
      <w:pPr>
        <w:spacing w:before="0" w:after="120" w:line="300" w:lineRule="auto"/>
      </w:pPr>
      <w:r>
        <w:rPr>
          <w:rFonts w:ascii="Georgia" w:hAnsi="Georgia"/>
          <w:b w:val="0"/>
          <w:color w:val="2F2E47"/>
          <w:sz w:val="21"/>
        </w:rPr>
        <w:t>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identifica el producto e indica si la Proveedora concede una licencia de uso o cede los derechos patrimoniales. La cesión solo existe si la orden la pacta de forma expresa.</w:t>
      </w:r>
    </w:p>
    <w:p>
      <w:pPr>
        <w:spacing w:before="0" w:after="120" w:line="300" w:lineRule="auto"/>
      </w:pPr>
      <w:r>
        <w:rPr>
          <w:rFonts w:ascii="Georgia" w:hAnsi="Georgia"/>
          <w:b w:val="0"/>
          <w:color w:val="2F2E47"/>
          <w:sz w:val="21"/>
        </w:rPr>
        <w:t>Salvo que la orden disponga otra cosa, la Proveedora concede a la Adquirente una licencia exclusiva, de alcance mundial y por todo el plazo de protección legal, para reproducir, editar, adaptar, distribuir, comunicar públicamente y poner a disposición el episodio, incluidos fragmentos, subtítulos y otros formatos derivados, en su sitio web, redes sociales, plataformas audiovisuales y demás medios digitales, así como en sus campañas institucionales y en su publicidad.</w:t>
      </w:r>
    </w:p>
    <w:p>
      <w:pPr>
        <w:spacing w:before="0" w:after="120" w:line="300" w:lineRule="auto"/>
      </w:pPr>
      <w:r>
        <w:rPr>
          <w:rFonts w:ascii="Georgia" w:hAnsi="Georgia"/>
          <w:b w:val="0"/>
          <w:color w:val="2F2E47"/>
          <w:sz w:val="21"/>
        </w:rPr>
        <w:t>La licencia comprende el producto final entregado. Los guiones, las grabaciones originales y los archivos editables se incluyen solo si la orden lo indica. La orden puede ampliar, limitar o precisar los derechos concedidos.</w:t>
      </w:r>
    </w:p>
    <w:p>
      <w:pPr>
        <w:spacing w:before="0" w:after="120" w:line="300" w:lineRule="auto"/>
      </w:pPr>
      <w:r>
        <w:rPr>
          <w:rFonts w:ascii="Georgia" w:hAnsi="Georgia"/>
          <w:b w:val="0"/>
          <w:color w:val="2F2E47"/>
          <w:sz w:val="21"/>
        </w:rPr>
        <w:t>La Proveedora concede solo los derechos de los que es titular. Garantiza que los materiales de terceros incorporados cuentan con licencia o son de uso libre, y que cuenta con las autorizaciones y, cuando corresponda, con la cesión o licencia de los aportes creativos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puede resolver la orden afectada y reclamar los daños que acredite, conforme a la ley.</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renueva automáticamente por periodos iguales, salvo que una de las partes comunique por escrito lo contrario con quince días naturales de anticipación. Las órdenes aceptadas antes del aviso se cumplen en sus términos.</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spacing w:before="0" w:after="120" w:line="300" w:lineRule="auto"/>
      </w:pPr>
      <w:r>
        <w:rPr>
          <w:rFonts w:ascii="Georgia" w:hAnsi="Georgia"/>
          <w:b w:val="0"/>
          <w:color w:val="2F2E47"/>
          <w:sz w:val="21"/>
        </w:rPr>
        <w:t>Firmamos en dos tantos de igual valor, en San José, el ____ de ______________ de 2026.</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Fiorella María Varela Monge</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pPr>
        <w:keepNext/>
        <w:spacing w:before="280" w:after="120" w:line="300" w:lineRule="auto"/>
        <w:pageBreakBefore/>
        <w:pBdr>
          <w:bottom w:val="single" w:sz="6" w:space="4" w:color="D1D0CB"/>
        </w:pBdr>
      </w:pPr>
      <w:r>
        <w:rPr>
          <w:rFonts w:ascii="Safira March" w:hAnsi="Safira March"/>
          <w:color w:val="131237"/>
          <w:sz w:val="28"/>
        </w:rPr>
        <w:t>Anexo 1.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Temas, invitados y autorizaciones</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p>
      <w:pPr>
        <w:keepNext/>
        <w:spacing w:before="280" w:after="120" w:line="300" w:lineRule="auto"/>
        <w:pageBreakBefore/>
        <w:pBdr>
          <w:bottom w:val="single" w:sz="6" w:space="4" w:color="D1D0CB"/>
        </w:pBdr>
      </w:pPr>
      <w:r>
        <w:rPr>
          <w:rFonts w:ascii="Safira March" w:hAnsi="Safira March"/>
          <w:color w:val="131237"/>
          <w:sz w:val="28"/>
        </w:rPr>
        <w:t>Anexo 2. Inscripción tributaria de la Proveedora</w:t>
      </w:r>
    </w:p>
    <w:p>
      <w:pPr>
        <w:spacing w:before="0" w:after="120" w:line="300" w:lineRule="auto"/>
      </w:pPr>
      <w:r>
        <w:rPr>
          <w:rFonts w:ascii="Georgia" w:hAnsi="Georgia"/>
          <w:b w:val="0"/>
          <w:color w:val="2F2E47"/>
          <w:sz w:val="21"/>
        </w:rPr>
        <w:t>Se adjunta la constancia de inscripción de la Proveedora en el Registro Único Tributario del Ministerio de Hacienda.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Nombre</w:t>
            </w:r>
          </w:p>
        </w:tc>
        <w:tc>
          <w:tcPr>
            <w:tcW w:type="dxa" w:w="4536"/>
          </w:tcPr>
          <w:p>
            <w:pPr>
              <w:spacing w:before="40" w:after="40" w:line="264" w:lineRule="auto"/>
            </w:pPr>
            <w:r>
              <w:rPr>
                <w:rFonts w:ascii="Georgia" w:hAnsi="Georgia"/>
                <w:b w:val="0"/>
                <w:color w:val="2F2E47"/>
                <w:sz w:val="19"/>
              </w:rPr>
              <w:t>Fiorella María Varela Monge</w:t>
            </w:r>
          </w:p>
        </w:tc>
      </w:tr>
      <w:tr>
        <w:tc>
          <w:tcPr>
            <w:tcW w:type="dxa" w:w="4536"/>
          </w:tcPr>
          <w:p>
            <w:pPr>
              <w:spacing w:before="40" w:after="40" w:line="264" w:lineRule="auto"/>
            </w:pPr>
            <w:r>
              <w:rPr>
                <w:rFonts w:ascii="Georgia" w:hAnsi="Georgia"/>
                <w:b w:val="0"/>
                <w:color w:val="5C6684"/>
                <w:sz w:val="19"/>
              </w:rPr>
              <w:t>Cédula</w:t>
            </w:r>
          </w:p>
        </w:tc>
        <w:tc>
          <w:tcPr>
            <w:tcW w:type="dxa" w:w="4536"/>
          </w:tcPr>
          <w:p>
            <w:pPr>
              <w:spacing w:before="40" w:after="40" w:line="264" w:lineRule="auto"/>
            </w:pPr>
            <w:r>
              <w:rPr>
                <w:rFonts w:ascii="Georgia" w:hAnsi="Georgia"/>
                <w:b w:val="0"/>
                <w:color w:val="2F2E47"/>
                <w:sz w:val="19"/>
              </w:rPr>
              <w:t>1-1867-0233</w:t>
            </w:r>
          </w:p>
        </w:tc>
      </w:tr>
      <w:tr>
        <w:tc>
          <w:tcPr>
            <w:tcW w:type="dxa" w:w="4536"/>
          </w:tcPr>
          <w:p>
            <w:pPr>
              <w:spacing w:before="40" w:after="40" w:line="264" w:lineRule="auto"/>
            </w:pPr>
            <w:r>
              <w:rPr>
                <w:rFonts w:ascii="Georgia" w:hAnsi="Georgia"/>
                <w:b w:val="0"/>
                <w:color w:val="5C6684"/>
                <w:sz w:val="19"/>
              </w:rPr>
              <w:t>Actividad económica inscrita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Régimen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 de la constancia</w:t>
            </w:r>
          </w:p>
        </w:tc>
        <w:tc>
          <w:tcPr>
            <w:tcW w:type="dxa" w:w="4536"/>
          </w:tcPr>
          <w:p>
            <w:pPr>
              <w:spacing w:before="40" w:after="40" w:line="264" w:lineRule="auto"/>
            </w:pP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