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pPr>
      <w:r>
        <w:rPr>
          <w:rFonts w:ascii="Safira March" w:hAnsi="Safira March"/>
          <w:color w:val="131237"/>
          <w:sz w:val="48"/>
        </w:rPr>
        <w:t>Lineamientos del equipo administrativo</w:t>
      </w:r>
    </w:p>
    <w:p>
      <w:pPr>
        <w:spacing w:before="120" w:after="120" w:line="300" w:lineRule="auto"/>
      </w:pPr>
      <w:r>
        <w:rPr>
          <w:rFonts w:ascii="Georgia" w:hAnsi="Georgia"/>
          <w:b/>
          <w:color w:val="131237"/>
          <w:sz w:val="22"/>
        </w:rPr>
        <w:t>Grupo Poïesis · Clínica Integral de Psicología y Psicoanálisis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Para</w:t>
            </w:r>
          </w:p>
        </w:tc>
        <w:tc>
          <w:tcPr>
            <w:tcW w:type="dxa" w:w="4536"/>
          </w:tcPr>
          <w:p>
            <w:pPr>
              <w:spacing w:before="40" w:after="40" w:line="264" w:lineRule="auto"/>
            </w:pPr>
            <w:r>
              <w:rPr>
                <w:rFonts w:ascii="Georgia" w:hAnsi="Georgia"/>
                <w:b w:val="0"/>
                <w:color w:val="2F2E47"/>
                <w:sz w:val="19"/>
              </w:rPr>
              <w:t>Equipo administrativo de Poïesis</w:t>
            </w:r>
          </w:p>
        </w:tc>
      </w:tr>
      <w:tr>
        <w:tc>
          <w:tcPr>
            <w:tcW w:type="dxa" w:w="4536"/>
          </w:tcPr>
          <w:p>
            <w:pPr>
              <w:spacing w:before="40" w:after="40" w:line="264" w:lineRule="auto"/>
            </w:pPr>
            <w:r>
              <w:rPr>
                <w:rFonts w:ascii="Georgia" w:hAnsi="Georgia"/>
                <w:b w:val="0"/>
                <w:color w:val="5C6684"/>
                <w:sz w:val="19"/>
              </w:rPr>
              <w:t>De</w:t>
            </w:r>
          </w:p>
        </w:tc>
        <w:tc>
          <w:tcPr>
            <w:tcW w:type="dxa" w:w="4536"/>
          </w:tcPr>
          <w:p>
            <w:pPr>
              <w:spacing w:before="40" w:after="40" w:line="264" w:lineRule="auto"/>
            </w:pPr>
            <w:r>
              <w:rPr>
                <w:rFonts w:ascii="Georgia" w:hAnsi="Georgia"/>
                <w:b w:val="0"/>
                <w:color w:val="2F2E47"/>
                <w:sz w:val="19"/>
              </w:rPr>
              <w:t>Grupo Poïesis</w:t>
            </w: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r>
              <w:rPr>
                <w:rFonts w:ascii="Georgia" w:hAnsi="Georgia"/>
                <w:b w:val="0"/>
                <w:color w:val="2F2E47"/>
                <w:sz w:val="19"/>
              </w:rPr>
              <w:t>San José, 27 de octubre de 2026</w:t>
            </w:r>
          </w:p>
        </w:tc>
      </w:tr>
    </w:tbl>
    <w:p/>
    <w:p>
      <w:pPr>
        <w:spacing w:before="0" w:after="120" w:line="300" w:lineRule="auto"/>
      </w:pPr>
      <w:r>
        <w:rPr>
          <w:rFonts w:ascii="Georgia" w:hAnsi="Georgia"/>
          <w:b w:val="0"/>
          <w:color w:val="2F2E47"/>
          <w:sz w:val="21"/>
        </w:rPr>
        <w:t>Estimado equipo:</w:t>
      </w:r>
    </w:p>
    <w:p>
      <w:pPr>
        <w:spacing w:before="0" w:after="120" w:line="300" w:lineRule="auto"/>
      </w:pPr>
      <w:r>
        <w:rPr>
          <w:rFonts w:ascii="Georgia" w:hAnsi="Georgia"/>
          <w:b w:val="0"/>
          <w:color w:val="2F2E47"/>
          <w:sz w:val="21"/>
        </w:rPr>
        <w:t>El trabajo administrativo es la primera puerta de Poïesis. Es la voz que recibe a quien nos escribe por primera vez, la que ordena la agenda y la que sostiene, cada día, que la clínica funcione. Gracias por hacerlo posible.</w:t>
      </w:r>
    </w:p>
    <w:p>
      <w:pPr>
        <w:spacing w:before="0" w:after="120" w:line="300" w:lineRule="auto"/>
      </w:pPr>
      <w:r>
        <w:rPr>
          <w:rFonts w:ascii="Georgia" w:hAnsi="Georgia"/>
          <w:b w:val="0"/>
          <w:color w:val="2F2E47"/>
          <w:sz w:val="21"/>
        </w:rPr>
        <w:t>Con este comunicado reunimos en un solo lugar los lineamientos que guían ese trabajo. La mayoría ya forma parte de la práctica diaria; ponerlos por escrito da a todas las personas la misma claridad.</w:t>
      </w:r>
    </w:p>
    <w:p>
      <w:pPr>
        <w:spacing w:before="280" w:after="120" w:line="300" w:lineRule="auto"/>
        <w:pBdr>
          <w:bottom w:val="single" w:sz="6" w:space="4" w:color="D1D0CB"/>
        </w:pBdr>
      </w:pPr>
      <w:r>
        <w:rPr>
          <w:rFonts w:ascii="Safira March" w:hAnsi="Safira March"/>
          <w:color w:val="131237"/>
          <w:sz w:val="28"/>
        </w:rPr>
        <w:t>1. Trato a las y los pacientes</w:t>
      </w:r>
    </w:p>
    <w:p>
      <w:pPr>
        <w:spacing w:before="0" w:after="120" w:line="300" w:lineRule="auto"/>
      </w:pPr>
      <w:r>
        <w:rPr>
          <w:rFonts w:ascii="Georgia" w:hAnsi="Georgia"/>
          <w:b w:val="0"/>
          <w:color w:val="2F2E47"/>
          <w:sz w:val="21"/>
        </w:rPr>
        <w:t>Quien escribe o llama a Poïesis suele estar dando un paso que le costó. Por eso, el primer contacto ya forma parte del cuidado. El Protocolo de Atención de Poïesis, compartido con el equipo el 19 de febrero de 2026, sigue siendo la referencia. En lo esencial:</w:t>
      </w:r>
    </w:p>
    <w:p>
      <w:pPr>
        <w:pStyle w:val="ListBullet"/>
        <w:spacing w:before="0" w:after="60" w:line="300" w:lineRule="auto"/>
      </w:pPr>
      <w:r>
        <w:rPr>
          <w:rFonts w:ascii="Georgia" w:hAnsi="Georgia"/>
          <w:b w:val="0"/>
          <w:color w:val="2F2E47"/>
          <w:sz w:val="21"/>
        </w:rPr>
        <w:t>Un trato cálido, sereno y profesional, en persona, por teléfono y por escrito, con cada paciente por igual.</w:t>
      </w:r>
    </w:p>
    <w:p>
      <w:pPr>
        <w:pStyle w:val="ListBullet"/>
        <w:spacing w:before="0" w:after="60" w:line="300" w:lineRule="auto"/>
      </w:pPr>
      <w:r>
        <w:rPr>
          <w:rFonts w:ascii="Georgia" w:hAnsi="Georgia"/>
          <w:b w:val="0"/>
          <w:color w:val="2F2E47"/>
          <w:sz w:val="21"/>
        </w:rPr>
        <w:t>Saludo institucional con el nombre propio. Se escucha el mensaje completo y se valida brevemente antes de informar.</w:t>
      </w:r>
    </w:p>
    <w:p>
      <w:pPr>
        <w:pStyle w:val="ListBullet"/>
        <w:spacing w:before="0" w:after="60" w:line="300" w:lineRule="auto"/>
      </w:pPr>
      <w:r>
        <w:rPr>
          <w:rFonts w:ascii="Georgia" w:hAnsi="Georgia"/>
          <w:b w:val="0"/>
          <w:color w:val="2F2E47"/>
          <w:sz w:val="21"/>
        </w:rPr>
        <w:t>Respuestas completas y sin prisa visible. Cuando una solicitud no se puede atender, se ofrece una alternativa concreta: otro horario, otra sede o la verificación del dato con un plazo de respuesta.</w:t>
      </w:r>
    </w:p>
    <w:p>
      <w:pPr>
        <w:pStyle w:val="ListBullet"/>
        <w:spacing w:before="0" w:after="60" w:line="300" w:lineRule="auto"/>
      </w:pPr>
      <w:r>
        <w:rPr>
          <w:rFonts w:ascii="Georgia" w:hAnsi="Georgia"/>
          <w:b w:val="0"/>
          <w:color w:val="2F2E47"/>
          <w:sz w:val="21"/>
        </w:rPr>
        <w:t>Ante una duda, se verifica y se confirma; no se improvisa.</w:t>
      </w:r>
    </w:p>
    <w:p>
      <w:pPr>
        <w:pStyle w:val="ListBullet"/>
        <w:spacing w:before="0" w:after="60" w:line="300" w:lineRule="auto"/>
      </w:pPr>
      <w:r>
        <w:rPr>
          <w:rFonts w:ascii="Georgia" w:hAnsi="Georgia"/>
          <w:b w:val="0"/>
          <w:color w:val="2F2E47"/>
          <w:sz w:val="21"/>
        </w:rPr>
        <w:t>No se piden detalles clínicos; el motivo de consulta se recoge de forma general.</w:t>
      </w:r>
    </w:p>
    <w:p>
      <w:pPr>
        <w:pStyle w:val="ListBullet"/>
        <w:spacing w:before="0" w:after="60" w:line="300" w:lineRule="auto"/>
      </w:pPr>
      <w:r>
        <w:rPr>
          <w:rFonts w:ascii="Georgia" w:hAnsi="Georgia"/>
          <w:b w:val="0"/>
          <w:color w:val="2F2E47"/>
          <w:sz w:val="21"/>
        </w:rPr>
        <w:t>Ante una persona en crisis o con señales de riesgo, se comunica de inmediato al equipo clínico y se acompaña a la persona mientras tanto.</w:t>
      </w:r>
    </w:p>
    <w:p>
      <w:pPr>
        <w:pStyle w:val="ListBullet"/>
        <w:spacing w:before="0" w:after="60" w:line="300" w:lineRule="auto"/>
      </w:pPr>
      <w:r>
        <w:rPr>
          <w:rFonts w:ascii="Georgia" w:hAnsi="Georgia"/>
          <w:b w:val="0"/>
          <w:color w:val="2F2E47"/>
          <w:sz w:val="21"/>
        </w:rPr>
        <w:t>Ninguna persona queda sin respuesta, y ningún número se bloquea sin autorización de la Dirección.</w:t>
      </w:r>
    </w:p>
    <w:p>
      <w:pPr>
        <w:pStyle w:val="ListBullet"/>
        <w:spacing w:before="0" w:after="60" w:line="300" w:lineRule="auto"/>
      </w:pPr>
      <w:r>
        <w:rPr>
          <w:rFonts w:ascii="Georgia" w:hAnsi="Georgia"/>
          <w:b w:val="0"/>
          <w:color w:val="2F2E47"/>
          <w:sz w:val="21"/>
        </w:rPr>
        <w:t>Frente a pacientes no se comentan asuntos internos, opiniones sobre la clínica ni situaciones del equipo.</w:t>
      </w:r>
    </w:p>
    <w:p>
      <w:pPr>
        <w:pStyle w:val="ListBullet"/>
        <w:spacing w:before="0" w:after="60" w:line="300" w:lineRule="auto"/>
      </w:pPr>
      <w:r>
        <w:rPr>
          <w:rFonts w:ascii="Georgia" w:hAnsi="Georgia"/>
          <w:b w:val="0"/>
          <w:color w:val="2F2E47"/>
          <w:sz w:val="21"/>
        </w:rPr>
        <w:t>Cada conversación se cierra con el nombre de la persona, una invitación a volver a escribir y un deseo de bienestar, y se registra en el sistema.</w:t>
      </w:r>
    </w:p>
    <w:p>
      <w:pPr>
        <w:spacing w:before="280" w:after="120" w:line="300" w:lineRule="auto"/>
        <w:pBdr>
          <w:bottom w:val="single" w:sz="6" w:space="4" w:color="D1D0CB"/>
        </w:pBdr>
      </w:pPr>
      <w:r>
        <w:rPr>
          <w:rFonts w:ascii="Safira March" w:hAnsi="Safira March"/>
          <w:color w:val="131237"/>
          <w:sz w:val="28"/>
        </w:rPr>
        <w:t>2. Comunicación y convivencia</w:t>
      </w:r>
    </w:p>
    <w:p>
      <w:pPr>
        <w:pStyle w:val="ListBullet"/>
        <w:spacing w:before="0" w:after="60" w:line="300" w:lineRule="auto"/>
      </w:pPr>
      <w:r>
        <w:rPr>
          <w:rFonts w:ascii="Georgia" w:hAnsi="Georgia"/>
          <w:b w:val="0"/>
          <w:color w:val="2F2E47"/>
          <w:sz w:val="21"/>
        </w:rPr>
        <w:t>Las referencias a las compañeras y compañeros, a las jefaturas, a la Dirección y a la clínica se expresan con respeto, también en su ausencia.</w:t>
      </w:r>
    </w:p>
    <w:p>
      <w:pPr>
        <w:pStyle w:val="ListBullet"/>
        <w:spacing w:before="0" w:after="60" w:line="300" w:lineRule="auto"/>
      </w:pPr>
      <w:r>
        <w:rPr>
          <w:rFonts w:ascii="Georgia" w:hAnsi="Georgia"/>
          <w:b w:val="0"/>
          <w:color w:val="2F2E47"/>
          <w:sz w:val="21"/>
        </w:rPr>
        <w:t>Las inquietudes y los desacuerdos tienen un canal: la conversación directa con la jefatura o con la Dirección. Toda inquietud planteada por esa vía es bienvenida y recibe respuesta.</w:t>
      </w:r>
    </w:p>
    <w:p>
      <w:pPr>
        <w:pStyle w:val="ListBullet"/>
        <w:spacing w:before="0" w:after="60" w:line="300" w:lineRule="auto"/>
      </w:pPr>
      <w:r>
        <w:rPr>
          <w:rFonts w:ascii="Georgia" w:hAnsi="Georgia"/>
          <w:b w:val="0"/>
          <w:color w:val="2F2E47"/>
          <w:sz w:val="21"/>
        </w:rPr>
        <w:t>Frente a visitantes y proveedores, la comunicación sobre la clínica y su equipo es neutral y respetuosa.</w:t>
      </w:r>
    </w:p>
    <w:p>
      <w:pPr>
        <w:pStyle w:val="ListBullet"/>
        <w:spacing w:before="0" w:after="60" w:line="300" w:lineRule="auto"/>
      </w:pPr>
      <w:r>
        <w:rPr>
          <w:rFonts w:ascii="Georgia" w:hAnsi="Georgia"/>
          <w:b w:val="0"/>
          <w:color w:val="2F2E47"/>
          <w:sz w:val="21"/>
        </w:rPr>
        <w:t>Nada de lo anterior limita el derecho de cada persona a plantear sus reclamos ante las instancias que la ley establece.</w:t>
      </w:r>
    </w:p>
    <w:p>
      <w:pPr>
        <w:spacing w:before="280" w:after="120" w:line="300" w:lineRule="auto"/>
        <w:pBdr>
          <w:bottom w:val="single" w:sz="6" w:space="4" w:color="D1D0CB"/>
        </w:pBdr>
      </w:pPr>
      <w:r>
        <w:rPr>
          <w:rFonts w:ascii="Safira March" w:hAnsi="Safira March"/>
          <w:color w:val="131237"/>
          <w:sz w:val="28"/>
        </w:rPr>
        <w:t>3. Confidencialidad</w:t>
      </w:r>
    </w:p>
    <w:p>
      <w:pPr>
        <w:pStyle w:val="ListBullet"/>
        <w:spacing w:before="0" w:after="60" w:line="300" w:lineRule="auto"/>
      </w:pPr>
      <w:r>
        <w:rPr>
          <w:rFonts w:ascii="Georgia" w:hAnsi="Georgia"/>
          <w:b w:val="0"/>
          <w:color w:val="2F2E47"/>
          <w:sz w:val="21"/>
        </w:rPr>
        <w:t>La información de pacientes y la información confidencial de la clínica (expedientes, agendas, datos de contacto, finanzas y documentos legales) se utiliza solo para fines de trabajo. No se copia, reenvía ni almacena fuera de los canales institucionales.</w:t>
      </w:r>
    </w:p>
    <w:p>
      <w:pPr>
        <w:pStyle w:val="ListBullet"/>
        <w:spacing w:before="0" w:after="60" w:line="300" w:lineRule="auto"/>
      </w:pPr>
      <w:r>
        <w:rPr>
          <w:rFonts w:ascii="Georgia" w:hAnsi="Georgia"/>
          <w:b w:val="0"/>
          <w:color w:val="2F2E47"/>
          <w:sz w:val="21"/>
        </w:rPr>
        <w:t>La información salarial de cada persona es confidencial y se conversa en privado.</w:t>
      </w:r>
    </w:p>
    <w:p>
      <w:pPr>
        <w:pStyle w:val="ListBullet"/>
        <w:spacing w:before="0" w:after="60" w:line="300" w:lineRule="auto"/>
      </w:pPr>
      <w:r>
        <w:rPr>
          <w:rFonts w:ascii="Georgia" w:hAnsi="Georgia"/>
          <w:b w:val="0"/>
          <w:color w:val="2F2E47"/>
          <w:sz w:val="21"/>
        </w:rPr>
        <w:t>Cada persona puede solicitar copia de su propia información laboral: contrato, colillas de pago y expediente.</w:t>
      </w:r>
    </w:p>
    <w:p>
      <w:pPr>
        <w:spacing w:before="280" w:after="120" w:line="300" w:lineRule="auto"/>
        <w:pBdr>
          <w:bottom w:val="single" w:sz="6" w:space="4" w:color="D1D0CB"/>
        </w:pBdr>
      </w:pPr>
      <w:r>
        <w:rPr>
          <w:rFonts w:ascii="Safira March" w:hAnsi="Safira March"/>
          <w:color w:val="131237"/>
          <w:sz w:val="28"/>
        </w:rPr>
        <w:t>4. Salario y cargas sociales</w:t>
      </w:r>
    </w:p>
    <w:p>
      <w:pPr>
        <w:spacing w:before="0" w:after="120" w:line="300" w:lineRule="auto"/>
      </w:pPr>
      <w:r>
        <w:rPr>
          <w:rFonts w:ascii="Georgia" w:hAnsi="Georgia"/>
          <w:b w:val="0"/>
          <w:color w:val="2F2E47"/>
          <w:sz w:val="21"/>
        </w:rPr>
        <w:t>Para que todas las personas cuenten con la misma información:</w:t>
      </w:r>
    </w:p>
    <w:p>
      <w:pPr>
        <w:spacing w:before="0" w:after="120" w:line="300" w:lineRule="auto"/>
      </w:pPr>
      <w:r>
        <w:rPr>
          <w:rFonts w:ascii="Georgia" w:hAnsi="Georgia"/>
          <w:b/>
          <w:color w:val="2F2E47"/>
          <w:sz w:val="21"/>
        </w:rPr>
        <w:t>Salario bruto y salario neto.</w:t>
      </w:r>
      <w:r>
        <w:rPr>
          <w:rFonts w:ascii="Georgia" w:hAnsi="Georgia"/>
          <w:b w:val="0"/>
          <w:color w:val="2F2E47"/>
          <w:sz w:val="21"/>
        </w:rPr>
        <w:t xml:space="preserve"> El salario bruto es el monto total pactado. El salario neto es lo que se recibe después de rebajar la cuota obrera de la CCSS y, cuando corresponde, el impuesto sobre la renta.</w:t>
      </w:r>
    </w:p>
    <w:p>
      <w:pPr>
        <w:spacing w:before="0" w:after="120" w:line="300" w:lineRule="auto"/>
      </w:pPr>
      <w:r>
        <w:rPr>
          <w:rFonts w:ascii="Georgia" w:hAnsi="Georgia"/>
          <w:b/>
          <w:color w:val="2F2E47"/>
          <w:sz w:val="21"/>
        </w:rPr>
        <w:t>Salario en especie.</w:t>
      </w:r>
      <w:r>
        <w:rPr>
          <w:rFonts w:ascii="Georgia" w:hAnsi="Georgia"/>
          <w:b w:val="0"/>
          <w:color w:val="2F2E47"/>
          <w:sz w:val="21"/>
        </w:rPr>
        <w:t xml:space="preserve"> Si una parte de la remuneración se recibe en especie, forma parte del salario: se reporta y cuenta para el aguinaldo y las vacaciones.</w:t>
      </w:r>
    </w:p>
    <w:p>
      <w:pPr>
        <w:spacing w:before="120" w:after="120" w:line="300" w:lineRule="auto"/>
      </w:pPr>
      <w:r>
        <w:rPr>
          <w:rFonts w:ascii="Georgia" w:hAnsi="Georgia"/>
          <w:b/>
          <w:color w:val="131237"/>
          <w:sz w:val="22"/>
        </w:rPr>
        <w:t>Cómo se dividen las cargas sociales.</w:t>
      </w:r>
    </w:p>
    <w:p>
      <w:pPr>
        <w:pStyle w:val="ListBullet"/>
        <w:spacing w:before="0" w:after="60" w:line="300" w:lineRule="auto"/>
      </w:pPr>
      <w:r>
        <w:rPr>
          <w:rFonts w:ascii="Georgia" w:hAnsi="Georgia"/>
          <w:b w:val="0"/>
          <w:color w:val="2F2E47"/>
          <w:sz w:val="21"/>
        </w:rPr>
        <w:t>La persona trabajadora aporta la cuota obrera, que se rebaja del salario bruto: seguro de salud, pensión (IVM) y aporte al Banco Popular.</w:t>
      </w:r>
    </w:p>
    <w:p>
      <w:pPr>
        <w:pStyle w:val="ListBullet"/>
        <w:spacing w:before="0" w:after="60" w:line="300" w:lineRule="auto"/>
      </w:pPr>
      <w:r>
        <w:rPr>
          <w:rFonts w:ascii="Georgia" w:hAnsi="Georgia"/>
          <w:b w:val="0"/>
          <w:color w:val="2F2E47"/>
          <w:sz w:val="21"/>
        </w:rPr>
        <w:t>La clínica aporta la cuota patronal, que es mayor y se paga por encima del salario. No se rebaja del salario de nadie.</w:t>
      </w:r>
    </w:p>
    <w:p>
      <w:pPr>
        <w:pStyle w:val="ListBullet"/>
        <w:spacing w:before="0" w:after="60" w:line="300" w:lineRule="auto"/>
      </w:pPr>
      <w:r>
        <w:rPr>
          <w:rFonts w:ascii="Georgia" w:hAnsi="Georgia"/>
          <w:b w:val="0"/>
          <w:color w:val="2F2E47"/>
          <w:sz w:val="21"/>
        </w:rPr>
        <w:t>La póliza de riesgos del trabajo del INS la paga la clínica en su totalidad.</w:t>
      </w:r>
    </w:p>
    <w:p>
      <w:pPr>
        <w:spacing w:before="0" w:after="120" w:line="300" w:lineRule="auto"/>
      </w:pPr>
      <w:r>
        <w:rPr>
          <w:rFonts w:ascii="Georgia" w:hAnsi="Georgia"/>
          <w:b/>
          <w:color w:val="2F2E47"/>
          <w:sz w:val="21"/>
        </w:rPr>
        <w:t>Por qué no es opcional.</w:t>
      </w:r>
      <w:r>
        <w:rPr>
          <w:rFonts w:ascii="Georgia" w:hAnsi="Georgia"/>
          <w:b w:val="0"/>
          <w:color w:val="2F2E47"/>
          <w:sz w:val="21"/>
        </w:rPr>
        <w:t xml:space="preserve"> El aseguramiento ante la Caja Costarricense de Seguro Social es obligatorio para toda persona asalariada; ni la clínica ni la persona trabajadora pueden renunciar a él. Es la cobertura que respalda la atención en salud, la pensión y la protección ante un accidente o una enfermedad laboral.</w:t>
      </w:r>
    </w:p>
    <w:p>
      <w:pPr>
        <w:spacing w:before="0" w:after="120" w:line="300" w:lineRule="auto"/>
      </w:pPr>
      <w:r>
        <w:rPr>
          <w:rFonts w:ascii="Georgia" w:hAnsi="Georgia"/>
          <w:b w:val="0"/>
          <w:color w:val="2F2E47"/>
          <w:sz w:val="21"/>
        </w:rPr>
        <w:t>Quien desee revisar el detalle de su colilla puede solicitarlo. Con gusto se lo explicamos de forma individual, con apoyo de contabilidad.</w:t>
      </w:r>
    </w:p>
    <w:p>
      <w:pPr>
        <w:spacing w:before="280" w:after="120" w:line="300" w:lineRule="auto"/>
        <w:pBdr>
          <w:bottom w:val="single" w:sz="6" w:space="4" w:color="D1D0CB"/>
        </w:pBdr>
      </w:pPr>
      <w:r>
        <w:rPr>
          <w:rFonts w:ascii="Safira March" w:hAnsi="Safira March"/>
          <w:color w:val="131237"/>
          <w:sz w:val="28"/>
        </w:rPr>
        <w:t>5. Un marco claro</w:t>
      </w:r>
    </w:p>
    <w:p>
      <w:pPr>
        <w:spacing w:before="0" w:after="120" w:line="300" w:lineRule="auto"/>
      </w:pPr>
      <w:r>
        <w:rPr>
          <w:rFonts w:ascii="Georgia" w:hAnsi="Georgia"/>
          <w:b w:val="0"/>
          <w:color w:val="2F2E47"/>
          <w:sz w:val="21"/>
        </w:rPr>
        <w:t>En Poïesis, conforme al Código de Trabajo, los incumplimientos se atienden de forma gradual y proporcional. Cada situación se conversa primero con la persona, y su versión se escucha. Si corresponde, se aplica una amonestación escrita. Cuando una falta es grave, o se repite después de haber sido advertida por escrito, la ley permite la terminación del contrato sin responsabilidad patronal.</w:t>
      </w:r>
    </w:p>
    <w:p>
      <w:pPr>
        <w:spacing w:before="0" w:after="120" w:line="300" w:lineRule="auto"/>
      </w:pPr>
      <w:r>
        <w:rPr>
          <w:rFonts w:ascii="Georgia" w:hAnsi="Georgia"/>
          <w:b w:val="0"/>
          <w:color w:val="2F2E47"/>
          <w:sz w:val="21"/>
        </w:rPr>
        <w:t>Lo compartimos por transparencia, para que todas las personas conozcan el marco con la misma claridad. Nuestro interés es que no sea necesario aplicarlo, y confiamos en que así será.</w:t>
      </w:r>
    </w:p>
    <w:p>
      <w:pPr>
        <w:spacing w:before="0" w:after="120" w:line="300" w:lineRule="auto"/>
      </w:pPr>
      <w:r>
        <w:rPr>
          <w:rFonts w:ascii="Georgia" w:hAnsi="Georgia"/>
          <w:b w:val="0"/>
          <w:color w:val="2F2E47"/>
          <w:sz w:val="21"/>
        </w:rPr>
        <w:t>Gracias por el cuidado con que cada persona sostiene su trabajo. Quedamos a disposición para conversar sobre cualquiera de estos puntos.</w:t>
      </w:r>
    </w:p>
    <w:p>
      <w:pPr>
        <w:spacing w:before="0" w:after="120" w:line="300" w:lineRule="auto"/>
      </w:pPr>
      <w:r>
        <w:rPr>
          <w:rFonts w:ascii="Georgia" w:hAnsi="Georgia"/>
          <w:b w:val="0"/>
          <w:color w:val="2F2E47"/>
          <w:sz w:val="21"/>
        </w:rPr>
        <w:t>Con aprecio,</w:t>
      </w:r>
    </w:p>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72"/>
      </w:tblGrid>
      <w:tr>
        <w:tc>
          <w:tcPr>
            <w:tcW w:type="dxa" w:w="9072"/>
          </w:tcPr>
          <w:p>
            <w:pPr>
              <w:spacing w:before="40" w:after="40" w:line="264" w:lineRule="auto"/>
            </w:pPr>
            <w:r>
              <w:rPr>
                <w:rFonts w:ascii="Georgia" w:hAnsi="Georgia"/>
                <w:b w:val="0"/>
                <w:color w:val="2F2E47"/>
                <w:sz w:val="19"/>
              </w:rPr>
              <w:t>______________________________</w:t>
            </w:r>
          </w:p>
        </w:tc>
      </w:tr>
      <w:tr>
        <w:tc>
          <w:tcPr>
            <w:tcW w:type="dxa" w:w="9072"/>
          </w:tcPr>
          <w:p>
            <w:pPr>
              <w:spacing w:before="40" w:after="40" w:line="264" w:lineRule="auto"/>
            </w:pPr>
            <w:r>
              <w:rPr>
                <w:rFonts w:ascii="Georgia" w:hAnsi="Georgia"/>
                <w:b w:val="0"/>
                <w:color w:val="2F2E47"/>
                <w:sz w:val="19"/>
              </w:rPr>
              <w:t>Fressy Mora Peñaranda</w:t>
            </w:r>
          </w:p>
        </w:tc>
      </w:tr>
      <w:tr>
        <w:tc>
          <w:tcPr>
            <w:tcW w:type="dxa" w:w="9072"/>
          </w:tcPr>
          <w:p>
            <w:pPr>
              <w:spacing w:before="40" w:after="40" w:line="264" w:lineRule="auto"/>
            </w:pPr>
            <w:r>
              <w:rPr>
                <w:rFonts w:ascii="Georgia" w:hAnsi="Georgia"/>
                <w:b w:val="0"/>
                <w:color w:val="2F2E47"/>
                <w:sz w:val="19"/>
              </w:rPr>
              <w:t>Asesoría Legal · Grupo Poïesis</w:t>
            </w:r>
          </w:p>
        </w:tc>
      </w:tr>
    </w:tbl>
    <w:p/>
    <w:p>
      <w:r>
        <w:br w:type="page"/>
      </w:r>
    </w:p>
    <w:p>
      <w:pPr>
        <w:spacing w:before="280" w:after="120" w:line="300" w:lineRule="auto"/>
        <w:pBdr>
          <w:bottom w:val="single" w:sz="6" w:space="4" w:color="D1D0CB"/>
        </w:pBdr>
      </w:pPr>
      <w:r>
        <w:rPr>
          <w:rFonts w:ascii="Safira March" w:hAnsi="Safira March"/>
          <w:color w:val="131237"/>
          <w:sz w:val="28"/>
        </w:rPr>
        <w:t>Acuse de recibo</w:t>
      </w:r>
    </w:p>
    <w:p>
      <w:pPr>
        <w:spacing w:before="0" w:after="120" w:line="300" w:lineRule="auto"/>
      </w:pPr>
      <w:r>
        <w:rPr>
          <w:rFonts w:ascii="Georgia" w:hAnsi="Georgia"/>
          <w:b w:val="0"/>
          <w:color w:val="2F2E47"/>
          <w:sz w:val="21"/>
        </w:rPr>
        <w:t>Mi firma indica que recibí y leí este comunicado.</w:t>
      </w:r>
    </w:p>
    <w:tbl>
      <w:tblPr>
        <w:tblW w:type="auto" w:w="0"/>
        <w:jc w:val="center"/>
        <w:tblLook w:firstColumn="1" w:firstRow="1" w:lastColumn="0" w:lastRow="0" w:noHBand="0" w:noVBand="1" w:val="04A0"/>
        <w:tblBorders>
          <w:top w:val="single" w:sz="4" w:color="D1D0CB"/>
          <w:left w:val="single" w:sz="4" w:color="D1D0CB"/>
          <w:bottom w:val="single" w:sz="4" w:color="D1D0CB"/>
          <w:right w:val="single" w:sz="4" w:color="D1D0CB"/>
          <w:insideH w:val="single" w:sz="4" w:color="D1D0CB"/>
          <w:insideV w:val="single" w:sz="4" w:color="D1D0CB"/>
        </w:tblBorders>
      </w:tblPr>
      <w:tblGrid>
        <w:gridCol w:w="2268"/>
        <w:gridCol w:w="2268"/>
        <w:gridCol w:w="2268"/>
        <w:gridCol w:w="2268"/>
      </w:tblGrid>
      <w:tr>
        <w:tc>
          <w:tcPr>
            <w:tcW w:type="dxa" w:w="2268"/>
            <w:shd w:val="clear" w:color="auto" w:fill="D1D0CB"/>
          </w:tcPr>
          <w:p>
            <w:pPr>
              <w:spacing w:before="40" w:after="40" w:line="264" w:lineRule="auto"/>
            </w:pPr>
            <w:r>
              <w:rPr>
                <w:rFonts w:ascii="Georgia" w:hAnsi="Georgia"/>
                <w:b/>
                <w:color w:val="131237"/>
                <w:sz w:val="19"/>
              </w:rPr>
              <w:t>Nombre</w:t>
            </w:r>
          </w:p>
        </w:tc>
        <w:tc>
          <w:tcPr>
            <w:tcW w:type="dxa" w:w="2268"/>
            <w:shd w:val="clear" w:color="auto" w:fill="D1D0CB"/>
          </w:tcPr>
          <w:p>
            <w:pPr>
              <w:spacing w:before="40" w:after="40" w:line="264" w:lineRule="auto"/>
            </w:pPr>
            <w:r>
              <w:rPr>
                <w:rFonts w:ascii="Georgia" w:hAnsi="Georgia"/>
                <w:b/>
                <w:color w:val="131237"/>
                <w:sz w:val="19"/>
              </w:rPr>
              <w:t>Cédula</w:t>
            </w:r>
          </w:p>
        </w:tc>
        <w:tc>
          <w:tcPr>
            <w:tcW w:type="dxa" w:w="2268"/>
            <w:shd w:val="clear" w:color="auto" w:fill="D1D0CB"/>
          </w:tcPr>
          <w:p>
            <w:pPr>
              <w:spacing w:before="40" w:after="40" w:line="264" w:lineRule="auto"/>
            </w:pPr>
            <w:r>
              <w:rPr>
                <w:rFonts w:ascii="Georgia" w:hAnsi="Georgia"/>
                <w:b/>
                <w:color w:val="131237"/>
                <w:sz w:val="19"/>
              </w:rPr>
              <w:t>Firma</w:t>
            </w:r>
          </w:p>
        </w:tc>
        <w:tc>
          <w:tcPr>
            <w:tcW w:type="dxa" w:w="2268"/>
            <w:shd w:val="clear" w:color="auto" w:fill="D1D0CB"/>
          </w:tcPr>
          <w:p>
            <w:pPr>
              <w:spacing w:before="40" w:after="40" w:line="264" w:lineRule="auto"/>
            </w:pPr>
            <w:r>
              <w:rPr>
                <w:rFonts w:ascii="Georgia" w:hAnsi="Georgia"/>
                <w:b/>
                <w:color w:val="131237"/>
                <w:sz w:val="19"/>
              </w:rPr>
              <w:t>Fecha</w:t>
            </w:r>
          </w:p>
        </w:tc>
      </w:tr>
      <w:tr>
        <w:tc>
          <w:tcPr>
            <w:tcW w:type="dxa" w:w="2268"/>
          </w:tcPr>
          <w:p>
            <w:pPr>
              <w:spacing w:before="40" w:after="40" w:line="264" w:lineRule="auto"/>
            </w:pPr>
            <w:r>
              <w:rPr>
                <w:rFonts w:ascii="Georgia" w:hAnsi="Georgia"/>
                <w:b w:val="0"/>
                <w:color w:val="2F2E47"/>
                <w:sz w:val="19"/>
              </w:rPr>
              <w:t>Kristell Carmona Soto</w:t>
            </w:r>
          </w:p>
        </w:tc>
        <w:tc>
          <w:tcPr>
            <w:tcW w:type="dxa" w:w="2268"/>
          </w:tcPr>
          <w:p>
            <w:pPr>
              <w:spacing w:before="40" w:after="40" w:line="264" w:lineRule="auto"/>
            </w:pPr>
          </w:p>
        </w:tc>
        <w:tc>
          <w:tcPr>
            <w:tcW w:type="dxa" w:w="2268"/>
          </w:tcPr>
          <w:p>
            <w:pPr>
              <w:spacing w:before="40" w:after="40" w:line="264" w:lineRule="auto"/>
            </w:pPr>
          </w:p>
        </w:tc>
        <w:tc>
          <w:tcPr>
            <w:tcW w:type="dxa" w:w="2268"/>
          </w:tcPr>
          <w:p>
            <w:pPr>
              <w:spacing w:before="40" w:after="40" w:line="264" w:lineRule="auto"/>
            </w:pPr>
          </w:p>
        </w:tc>
      </w:tr>
      <w:tr>
        <w:tc>
          <w:tcPr>
            <w:tcW w:type="dxa" w:w="2268"/>
          </w:tcPr>
          <w:p>
            <w:pPr>
              <w:spacing w:before="40" w:after="40" w:line="264" w:lineRule="auto"/>
            </w:pPr>
            <w:r>
              <w:rPr>
                <w:rFonts w:ascii="Georgia" w:hAnsi="Georgia"/>
                <w:b w:val="0"/>
                <w:color w:val="2F2E47"/>
                <w:sz w:val="19"/>
              </w:rPr>
              <w:t>Fiorella Varela Monge</w:t>
            </w:r>
          </w:p>
        </w:tc>
        <w:tc>
          <w:tcPr>
            <w:tcW w:type="dxa" w:w="2268"/>
          </w:tcPr>
          <w:p>
            <w:pPr>
              <w:spacing w:before="40" w:after="40" w:line="264" w:lineRule="auto"/>
            </w:pPr>
          </w:p>
        </w:tc>
        <w:tc>
          <w:tcPr>
            <w:tcW w:type="dxa" w:w="2268"/>
          </w:tcPr>
          <w:p>
            <w:pPr>
              <w:spacing w:before="40" w:after="40" w:line="264" w:lineRule="auto"/>
            </w:pPr>
          </w:p>
        </w:tc>
        <w:tc>
          <w:tcPr>
            <w:tcW w:type="dxa" w:w="2268"/>
          </w:tcPr>
          <w:p>
            <w:pPr>
              <w:spacing w:before="40" w:after="40" w:line="264" w:lineRule="auto"/>
            </w:pPr>
          </w:p>
        </w:tc>
      </w:tr>
      <w:tr>
        <w:tc>
          <w:tcPr>
            <w:tcW w:type="dxa" w:w="2268"/>
          </w:tcPr>
          <w:p>
            <w:pPr>
              <w:spacing w:before="40" w:after="40" w:line="264" w:lineRule="auto"/>
            </w:pPr>
            <w:r>
              <w:rPr>
                <w:rFonts w:ascii="Georgia" w:hAnsi="Georgia"/>
                <w:b w:val="0"/>
                <w:color w:val="2F2E47"/>
                <w:sz w:val="19"/>
              </w:rPr>
              <w:t>Angiolette Alcázar Mata</w:t>
            </w:r>
          </w:p>
        </w:tc>
        <w:tc>
          <w:tcPr>
            <w:tcW w:type="dxa" w:w="2268"/>
          </w:tcPr>
          <w:p>
            <w:pPr>
              <w:spacing w:before="40" w:after="40" w:line="264" w:lineRule="auto"/>
            </w:pPr>
          </w:p>
        </w:tc>
        <w:tc>
          <w:tcPr>
            <w:tcW w:type="dxa" w:w="2268"/>
          </w:tcPr>
          <w:p>
            <w:pPr>
              <w:spacing w:before="40" w:after="40" w:line="264" w:lineRule="auto"/>
            </w:pPr>
          </w:p>
        </w:tc>
        <w:tc>
          <w:tcPr>
            <w:tcW w:type="dxa" w:w="2268"/>
          </w:tcPr>
          <w:p>
            <w:pPr>
              <w:spacing w:before="40" w:after="40" w:line="264" w:lineRule="auto"/>
            </w:pPr>
          </w:p>
        </w:tc>
      </w:tr>
      <w:tr>
        <w:tc>
          <w:tcPr>
            <w:tcW w:type="dxa" w:w="2268"/>
          </w:tcPr>
          <w:p>
            <w:pPr>
              <w:spacing w:before="40" w:after="40" w:line="264" w:lineRule="auto"/>
            </w:pPr>
          </w:p>
        </w:tc>
        <w:tc>
          <w:tcPr>
            <w:tcW w:type="dxa" w:w="2268"/>
          </w:tcPr>
          <w:p>
            <w:pPr>
              <w:spacing w:before="40" w:after="40" w:line="264" w:lineRule="auto"/>
            </w:pPr>
          </w:p>
        </w:tc>
        <w:tc>
          <w:tcPr>
            <w:tcW w:type="dxa" w:w="2268"/>
          </w:tcPr>
          <w:p>
            <w:pPr>
              <w:spacing w:before="40" w:after="40" w:line="264" w:lineRule="auto"/>
            </w:pPr>
          </w:p>
        </w:tc>
        <w:tc>
          <w:tcPr>
            <w:tcW w:type="dxa" w:w="2268"/>
          </w:tcPr>
          <w:p>
            <w:pPr>
              <w:spacing w:before="40" w:after="40" w:line="264" w:lineRule="auto"/>
            </w:pP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 · Confidencial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