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herramientas digitales</w:t>
      </w:r>
    </w:p>
    <w:p>
      <w:pPr>
        <w:spacing w:before="0" w:after="160" w:line="300" w:lineRule="auto"/>
      </w:pPr>
      <w:r>
        <w:rPr>
          <w:rFonts w:ascii="Georgia" w:hAnsi="Georgia"/>
          <w:b w:val="0"/>
          <w:i/>
          <w:color w:val="5C6684"/>
          <w:sz w:val="20"/>
        </w:rPr>
        <w:t>Propuesta entregada el ____ de ______________ de 2026. La Proveedora puede revisarla y consultarla con quien desee antes de firmar. La propuesta se mantiene vigente durante quince días hábiles desde su entrega.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ANGIOLETTE ALCÁZAR MATA</w:t>
      </w:r>
      <w:r>
        <w:rPr>
          <w:rFonts w:ascii="Georgia" w:hAnsi="Georgia"/>
          <w:b w:val="0"/>
          <w:color w:val="2F2E47"/>
          <w:sz w:val="21"/>
        </w:rPr>
        <w:t>, cédula de identidad ______________, actuando por cuenta propia como desarrolladora independiente de herramientas digitales,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herramientas digitales originales creadas por la Proveedora, como plantillas y modelos automatizados en hojas de cálculo,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Este contrato regula solo operaciones cuyo objeto y ejecución son distintos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No forman parte de este contrato las hojas de cálculo, los registros ni los reportes que la Proveedora prepara o actualiza como parte de su trabajo, aunque para ello use productos adquiridos mediante este contrato. Tampoco se adquieren por esta vía productos elaborados como parte de una tarea asignada en su puesto.</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requisitos técnicos, la compatibilidad, los programas o complementos de los que depende, y la documentación y el soporte posterior a la entrega, si se pactan.</w:t>
      </w:r>
    </w:p>
    <w:p>
      <w:pPr>
        <w:spacing w:before="0" w:after="120" w:line="300" w:lineRule="auto"/>
      </w:pPr>
      <w:r>
        <w:rPr>
          <w:rFonts w:ascii="Georgia" w:hAnsi="Georgia"/>
          <w:b w:val="0"/>
          <w:color w:val="2F2E47"/>
          <w:sz w:val="21"/>
        </w:rPr>
        <w:t>Una orden puede comprender uno o varios productos. El precio de cada producto es el del anexo 3, salvo que la orden fije otro de común acuerdo.</w:t>
      </w:r>
    </w:p>
    <w:p>
      <w:pPr>
        <w:spacing w:before="0" w:after="120" w:line="300" w:lineRule="auto"/>
      </w:pPr>
      <w:r>
        <w:rPr>
          <w:rFonts w:ascii="Georgia" w:hAnsi="Georgia"/>
          <w:b w:val="0"/>
          <w:color w:val="2F2E47"/>
          <w:sz w:val="21"/>
        </w:rPr>
        <w:t>No existe un número mínimo de órdenes ni un pago periódico garantizado. El máximo mensual del anexo 3 es una previsión de compra, no un compromiso.</w:t>
      </w:r>
    </w:p>
    <w:p>
      <w:pPr>
        <w:keepNext/>
        <w:spacing w:before="280" w:after="120" w:line="300" w:lineRule="auto"/>
        <w:pBdr>
          <w:bottom w:val="single" w:sz="6" w:space="4" w:color="D1D0CB"/>
        </w:pBdr>
      </w:pPr>
      <w:r>
        <w:rPr>
          <w:rFonts w:ascii="Safira March" w:hAnsi="Safira March"/>
          <w:color w:val="131237"/>
          <w:sz w:val="28"/>
        </w:rPr>
        <w:t>Cuarta. Recursos y datos</w:t>
      </w:r>
    </w:p>
    <w:p>
      <w:pPr>
        <w:spacing w:before="0" w:after="120" w:line="300" w:lineRule="auto"/>
      </w:pPr>
      <w:r>
        <w:rPr>
          <w:rFonts w:ascii="Georgia" w:hAnsi="Georgia"/>
          <w:b w:val="0"/>
          <w:color w:val="2F2E47"/>
          <w:sz w:val="21"/>
        </w:rPr>
        <w:t>Si un producto requiere usar equipos, sistemas, programas o licencias de la Adquirente, la autorización consta por escrito en la orden, con los recursos y el periodo de uso, fuera de la jornada laboral de la Proveedora.</w:t>
      </w:r>
    </w:p>
    <w:p>
      <w:pPr>
        <w:spacing w:before="0" w:after="120" w:line="300" w:lineRule="auto"/>
      </w:pPr>
      <w:r>
        <w:rPr>
          <w:rFonts w:ascii="Georgia" w:hAnsi="Georgia"/>
          <w:b w:val="0"/>
          <w:color w:val="2F2E47"/>
          <w:sz w:val="21"/>
        </w:rPr>
        <w:t>La Proveedora desarrolla y prueba los productos con datos ficticios. Ningún producto se entrega con datos de pacientes ni con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editable, con sus fórmulas y automatizaciones accesibles, y una guía breve de uso, accesibles y en condiciones de abrirse. El plazo de revisión corre desde que el producto completo queda disponible en ese canal, con constancia del envío. Si un archivo no se puede abrir o falta, la Adquirente lo comunica dentro de los dos días hábiles siguientes a la puesta a disposición, y el plazo corre desde que la entrega se completa.</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por infracciones a derechos de terceros ni por otros incumplimientos que no pudieron advertirse razonablemente durante la revisión.</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en el momento que establezca la normativa tributaria. El precio es exigible cuando el producto está aceptado y la Adquirente ha recibido ese comprobante. La Adquirente paga en sus días de pago a proveedores, miércoles o jueves, a más tardar el jueves inmediato siguiente a la fecha en que se cumple la última de esas dos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La Proveedora puede emitir un solo comprobante por orden, aunque la orden comprenda varios productos. 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no exclusiva, de alcance mundial y por todo el plazo de protección legal, para reproducir, instalar, usar, modificar y adaptar el producto, incluidas sus fórmulas y automatizaciones, en las operaciones de Grupo Poïesis y de sus sedes.</w:t>
      </w:r>
    </w:p>
    <w:p>
      <w:pPr>
        <w:spacing w:before="0" w:after="120" w:line="300" w:lineRule="auto"/>
      </w:pPr>
      <w:r>
        <w:rPr>
          <w:rFonts w:ascii="Georgia" w:hAnsi="Georgia"/>
          <w:b w:val="0"/>
          <w:color w:val="2F2E47"/>
          <w:sz w:val="21"/>
        </w:rPr>
        <w:t>La licencia comprende el producto final entregado. Incluye el archivo editable, con sus fórmulas y automatizaciones. La orden puede ampliar, limitar o precisar los derechos concedidos.</w:t>
      </w:r>
    </w:p>
    <w:p>
      <w:pPr>
        <w:spacing w:before="0" w:after="120" w:line="300" w:lineRule="auto"/>
      </w:pPr>
      <w:r>
        <w:rPr>
          <w:rFonts w:ascii="Georgia" w:hAnsi="Georgia"/>
          <w:b w:val="0"/>
          <w:color w:val="2F2E47"/>
          <w:sz w:val="21"/>
        </w:rPr>
        <w:t>La licencia no exclusiva no autoriza a la Proveedora a divulgar, reutilizar ni incluir en productos para terceros información confidencial, datos personales, configuraciones internas ni materiales de la Adquirente.</w:t>
      </w:r>
    </w:p>
    <w:p>
      <w:pPr>
        <w:spacing w:before="0" w:after="120" w:line="300" w:lineRule="auto"/>
      </w:pPr>
      <w:r>
        <w:rPr>
          <w:rFonts w:ascii="Georgia" w:hAnsi="Georgia"/>
          <w:b w:val="0"/>
          <w:color w:val="2F2E47"/>
          <w:sz w:val="21"/>
        </w:rPr>
        <w:t>La Proveedora concede solo los derechos de los que es titular. La exclusividad no alcanza los materiales de terceros, que se usan en los términos de sus licencias. Garantiza que los materiales de terceros incorporados, incluidos código, complementos y automatizaciones de terceros,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 Puede identificar su autoría en la documentación de cada herramienta.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Ningún producto se elabora con expedientes clínicos, datos que identifiquen a pacientes, credenciales institucionales ni información sensible. La información confidencial que se entregue para una orden se guarda solo en los medios que la orden autorice, con acceso limitado, y se devuelve o se elimina al concluir la operación, salvo que la ley obligue a conservarla. Cualquier pérdida o divulgación no autorizada se comunica de inmediato a la Adquirente.</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Cuando el incumplimiento es grave o esencial, o su corrección es imposible o inútil, la parte afectada puede resolver la orden sin conceder ese plazo.</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w:t>
      </w:r>
    </w:p>
    <w:p>
      <w:pPr>
        <w:spacing w:before="0" w:after="120" w:line="300" w:lineRule="auto"/>
      </w:pPr>
      <w:r>
        <w:rPr>
          <w:rFonts w:ascii="Georgia" w:hAnsi="Georgia"/>
          <w:b w:val="0"/>
          <w:color w:val="2F2E47"/>
          <w:sz w:val="21"/>
        </w:rPr>
        <w:t>Cualquiera de las partes puede darlo por terminado en cualquier momento, con aviso escrito de quince días naturales, sin penalidad ni indemnización. Las órdenes aceptadas antes del aviso se cumplen en sus términos.</w:t>
      </w:r>
    </w:p>
    <w:p>
      <w:pPr>
        <w:spacing w:before="0" w:after="120" w:line="300" w:lineRule="auto"/>
      </w:pPr>
      <w:r>
        <w:rPr>
          <w:rFonts w:ascii="Georgia" w:hAnsi="Georgia"/>
          <w:b w:val="0"/>
          <w:color w:val="2F2E47"/>
          <w:sz w:val="21"/>
        </w:rPr>
        <w:t>La terminación de la relación laboral, por cualquier causa, no termina este contrato, y la terminación de este contrato no afecta la relación laboral.</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Requisitos técnicos, dependencias, documentación y soporte</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______________</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p>
      <w:pPr>
        <w:keepNext/>
        <w:spacing w:before="280" w:after="120" w:line="300" w:lineRule="auto"/>
        <w:pageBreakBefore/>
        <w:pBdr>
          <w:bottom w:val="single" w:sz="6" w:space="4" w:color="D1D0CB"/>
        </w:pBdr>
      </w:pPr>
      <w:r>
        <w:rPr>
          <w:rFonts w:ascii="Safira March" w:hAnsi="Safira March"/>
          <w:color w:val="131237"/>
          <w:sz w:val="28"/>
        </w:rPr>
        <w:t>Anexo 3. Tarifas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r>
              <w:rPr>
                <w:rFonts w:ascii="Georgia" w:hAnsi="Georgia"/>
                <w:b w:val="0"/>
                <w:color w:val="2F2E47"/>
                <w:sz w:val="19"/>
              </w:rPr>
              <w:t>Herramienta digital, según la orden</w:t>
            </w:r>
          </w:p>
        </w:tc>
      </w:tr>
      <w:tr>
        <w:tc>
          <w:tcPr>
            <w:tcW w:type="dxa" w:w="4536"/>
          </w:tcPr>
          <w:p>
            <w:pPr>
              <w:spacing w:before="40" w:after="40" w:line="264" w:lineRule="auto"/>
            </w:pPr>
            <w:r>
              <w:rPr>
                <w:rFonts w:ascii="Georgia" w:hAnsi="Georgia"/>
                <w:b w:val="0"/>
                <w:color w:val="5C6684"/>
                <w:sz w:val="19"/>
              </w:rPr>
              <w:t>Precio por producto</w:t>
            </w:r>
          </w:p>
        </w:tc>
        <w:tc>
          <w:tcPr>
            <w:tcW w:type="dxa" w:w="4536"/>
          </w:tcPr>
          <w:p>
            <w:pPr>
              <w:spacing w:before="40" w:after="40" w:line="264" w:lineRule="auto"/>
            </w:pPr>
            <w:r>
              <w:rPr>
                <w:rFonts w:ascii="Georgia" w:hAnsi="Georgia"/>
                <w:b w:val="0"/>
                <w:color w:val="2F2E47"/>
                <w:sz w:val="19"/>
              </w:rPr>
              <w:t>₡ ______ (más IVA, si corresponde)</w:t>
            </w:r>
          </w:p>
        </w:tc>
      </w:tr>
      <w:tr>
        <w:tc>
          <w:tcPr>
            <w:tcW w:type="dxa" w:w="4536"/>
          </w:tcPr>
          <w:p>
            <w:pPr>
              <w:spacing w:before="40" w:after="40" w:line="264" w:lineRule="auto"/>
            </w:pPr>
            <w:r>
              <w:rPr>
                <w:rFonts w:ascii="Georgia" w:hAnsi="Georgia"/>
                <w:b w:val="0"/>
                <w:color w:val="5C6684"/>
                <w:sz w:val="19"/>
              </w:rPr>
              <w:t>Máximo de productos por mes</w:t>
            </w:r>
          </w:p>
        </w:tc>
        <w:tc>
          <w:tcPr>
            <w:tcW w:type="dxa" w:w="4536"/>
          </w:tcPr>
          <w:p>
            <w:pPr>
              <w:spacing w:before="40" w:after="40" w:line="264" w:lineRule="auto"/>
            </w:pPr>
            <w:r>
              <w:rPr>
                <w:rFonts w:ascii="Georgia" w:hAnsi="Georgia"/>
                <w:b w:val="0"/>
                <w:color w:val="2F2E47"/>
                <w:sz w:val="19"/>
              </w:rPr>
              <w:t>______</w:t>
            </w:r>
          </w:p>
        </w:tc>
      </w:tr>
    </w:tbl>
    <w:p/>
    <w:p>
      <w:pPr>
        <w:spacing w:before="0" w:after="120" w:line="300" w:lineRule="auto"/>
      </w:pPr>
      <w:r>
        <w:rPr>
          <w:rFonts w:ascii="Georgia" w:hAnsi="Georgia"/>
          <w:b w:val="0"/>
          <w:color w:val="2F2E47"/>
          <w:sz w:val="21"/>
        </w:rPr>
        <w:t>Las tarifas rigen durante el primer año de vigencia del contrato. Cualquier cambio se acuerda por escrito. El máximo mensual es una previsión de compra de la Adquirente: no obliga a ninguna de las partes a ofrecer, elaborar ni adquirir un número determinado de productos.</w:t>
      </w:r>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