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herramientas digitales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ANGIOLETTE ALCÁZAR MATA</w:t>
      </w:r>
      <w:r>
        <w:rPr>
          <w:rFonts w:ascii="Georgia" w:hAnsi="Georgia"/>
          <w:b w:val="0"/>
          <w:color w:val="2F2E47"/>
          <w:sz w:val="21"/>
        </w:rPr>
        <w:t>, cédula de identidad ______________, actuando por cuenta propia como desarrolladora independiente de herramientas digitales,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herramientas digitales originales creadas por la Proveedora, como plantillas y modelos automatizados en hojas de cálculo,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Este contrato regula solo operaciones cuyo objeto y ejecución son distintos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No forman parte de este contrato las hojas de cálculo, los registros ni los reportes que la Proveedora prepara o actualiza como parte de su trabajo, aunque para ello use productos adquiridos mediante este contrato. Tampoco se adquieren por esta vía productos elaborados como parte de una tarea asignada en su puesto.</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los requisitos técnicos, la compatibilidad, los programas o complementos de los que depende, y la documentación y el soporte posterior a la entrega, si se pactan.</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Recursos y datos</w:t>
      </w:r>
    </w:p>
    <w:p>
      <w:pPr>
        <w:spacing w:before="0" w:after="120" w:line="300" w:lineRule="auto"/>
      </w:pPr>
      <w:r>
        <w:rPr>
          <w:rFonts w:ascii="Georgia" w:hAnsi="Georgia"/>
          <w:b w:val="0"/>
          <w:color w:val="2F2E47"/>
          <w:sz w:val="21"/>
        </w:rPr>
        <w:t>Si un producto requiere usar equipos, sistemas o licencias de la Adquirente, la autorización consta por escrito en la orden, con los recursos y el periodo de uso, fuera de la jornada laboral de la Proveedora.</w:t>
      </w:r>
    </w:p>
    <w:p>
      <w:pPr>
        <w:spacing w:before="0" w:after="120" w:line="300" w:lineRule="auto"/>
      </w:pPr>
      <w:r>
        <w:rPr>
          <w:rFonts w:ascii="Georgia" w:hAnsi="Georgia"/>
          <w:b w:val="0"/>
          <w:color w:val="2F2E47"/>
          <w:sz w:val="21"/>
        </w:rPr>
        <w:t>La Proveedora desarrolla y prueba los productos con datos ficticios. Ningún producto se entrega con datos de pacientes ni con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editable, con sus fórmulas y automatizaciones accesibles, y una guía breve de uso, accesibles y en condiciones de abrirse. El plazo de revisión corre desde que el producto completo queda disponible en ese canal, con constancia del envío. Si un archivo no se puede abrir o falta, la Adquirente lo comunica dentro de los dos días hábiles siguientes a la puesta a disposición, y el plazo corre desde que la entrega se completa.</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por infracciones a derechos de terceros ni por otros incumplimientos que no pudieron advertirse razonablemente durante la revisión.</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en el momento que establezca la normativa tributaria. El precio es exigible cuando el producto está aceptado y la Adquirente ha recibido ese comprobante. La Adquirente paga en sus días de pago a proveedores, miércoles o jueves, a más tardar el jueves inmediato siguiente a la fecha en que se cumple la última de esas dos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no exclusiva, de alcance mundial y por todo el plazo de protección legal, para reproducir, instalar, usar, modificar y adaptar el producto, incluidas sus fórmulas y automatizaciones, en las operaciones de Grupo Poïesis y de sus sedes.</w:t>
      </w:r>
    </w:p>
    <w:p>
      <w:pPr>
        <w:spacing w:before="0" w:after="120" w:line="300" w:lineRule="auto"/>
      </w:pPr>
      <w:r>
        <w:rPr>
          <w:rFonts w:ascii="Georgia" w:hAnsi="Georgia"/>
          <w:b w:val="0"/>
          <w:color w:val="2F2E47"/>
          <w:sz w:val="21"/>
        </w:rPr>
        <w:t>La licencia comprende el producto final entregado. Incluye el archivo editable, con sus fórmulas y automatizaciones. La orden puede ampliar, limitar o precisar los derechos concedidos.</w:t>
      </w:r>
    </w:p>
    <w:p>
      <w:pPr>
        <w:spacing w:before="0" w:after="120" w:line="300" w:lineRule="auto"/>
      </w:pPr>
      <w:r>
        <w:rPr>
          <w:rFonts w:ascii="Georgia" w:hAnsi="Georgia"/>
          <w:b w:val="0"/>
          <w:color w:val="2F2E47"/>
          <w:sz w:val="21"/>
        </w:rPr>
        <w:t>La licencia no exclusiva no autoriza a la Proveedora a divulgar, reutilizar ni incluir en productos para terceros información confidencial, datos personales, configuraciones internas ni materiales de la Adquirente.</w:t>
      </w:r>
    </w:p>
    <w:p>
      <w:pPr>
        <w:spacing w:before="0" w:after="120" w:line="300" w:lineRule="auto"/>
      </w:pPr>
      <w:r>
        <w:rPr>
          <w:rFonts w:ascii="Georgia" w:hAnsi="Georgia"/>
          <w:b w:val="0"/>
          <w:color w:val="2F2E47"/>
          <w:sz w:val="21"/>
        </w:rPr>
        <w:t>La Proveedora concede solo los derechos de los que es titular. La exclusividad no alcanza los materiales de terceros, que se usan en los términos de sus licencias. Garantiza que los materiales de terceros incorporados, incluidos código, complementos y automatizaciones de terceros,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Ningún producto se elabora con expedientes clínicos, datos que identifiquen a pacientes, credenciales institucionales ni información sensible. La información confidencial que se entregue para una orden se guarda solo en los medios que la orden autorice, con acceso limitado, y se devuelve o se elimina al concluir la operación, salvo que la ley obligue a conservarla. Cualquier pérdida o divulgación no autorizada se comunica de inmediato a la Adquirente.</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o si por su naturaleza no admite corrección,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keepNext/>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keepNext/>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keepNext/>
        <w:spacing w:before="0" w:after="120" w:line="300" w:lineRule="auto"/>
      </w:pPr>
      <w:r>
        <w:rPr>
          <w:rFonts w:ascii="Georgia" w:hAnsi="Georgia"/>
          <w:b w:val="0"/>
          <w:color w:val="2F2E47"/>
          <w:sz w:val="21"/>
        </w:rPr>
        <w:t>Firmamos en dos tantos de igual valor, en San José, el ____ de ______________ de 2026.</w:t>
      </w:r>
    </w:p>
    <w:p>
      <w:pPr>
        <w:keepNext/>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Requisitos técnicos, dependencias, documentación y soporte</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______________</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