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episodios de podcast</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FIORELLA MARÍA VARELA MONGE</w:t>
      </w:r>
      <w:r>
        <w:rPr>
          <w:rFonts w:ascii="Georgia" w:hAnsi="Georgia"/>
          <w:b w:val="0"/>
          <w:color w:val="2F2E47"/>
          <w:sz w:val="21"/>
        </w:rPr>
        <w:t>, cédula de identidad 1-1867-0233, actuando por cuenta propia como creadora de contenido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episodios de podcast creados por la Proveedora,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Este contrato regula solo operaciones cuyo objeto y ejecución son distintos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los temas, las personas invitadas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Grabación, invitados y datos</w:t>
      </w:r>
    </w:p>
    <w:p>
      <w:pPr>
        <w:spacing w:before="0" w:after="120" w:line="300" w:lineRule="auto"/>
      </w:pPr>
      <w:r>
        <w:rPr>
          <w:rFonts w:ascii="Georgia" w:hAnsi="Georgia"/>
          <w:b w:val="0"/>
          <w:color w:val="2F2E47"/>
          <w:sz w:val="21"/>
        </w:rPr>
        <w:t>Si un episodio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La Proveedora organiza la grabación y la edición. Cuando el episodio se publica con la marca de la Adquirente, los temas y las personas invitadas se acuerdan en la orden, y la Adquirente revisa el contenido antes de publicarlo.</w:t>
      </w:r>
    </w:p>
    <w:p>
      <w:pPr>
        <w:spacing w:before="0" w:after="120" w:line="300" w:lineRule="auto"/>
      </w:pPr>
      <w:r>
        <w:rPr>
          <w:rFonts w:ascii="Georgia" w:hAnsi="Georgia"/>
          <w:b w:val="0"/>
          <w:color w:val="2F2E47"/>
          <w:sz w:val="21"/>
        </w:rPr>
        <w:t>Cada persona invitada participa de forma voluntaria y con autorización escrita para el uso de su voz, su imagen y su intervención, y cede o licencia sus aportes creativos cuando los haya. La Proveedora gestiona esas autorizaciones y las entrega con el episodio.</w:t>
      </w:r>
    </w:p>
    <w:p>
      <w:pPr>
        <w:spacing w:before="0" w:after="120" w:line="300" w:lineRule="auto"/>
      </w:pPr>
      <w:r>
        <w:rPr>
          <w:rFonts w:ascii="Georgia" w:hAnsi="Georgia"/>
          <w:b w:val="0"/>
          <w:color w:val="2F2E47"/>
          <w:sz w:val="21"/>
        </w:rPr>
        <w:t>Ningún paciente participa en los episodios, no se mencionan casos identificables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la música y demás materiales con su licencia, y las autorizaciones pactados, accesibles y en condiciones de abrirse. El plazo de revisión corre desde que el producto completo queda disponible en ese canal, con constancia del envío. Si un archivo no se puede abrir o falta, la Adquirente lo comunica dentro de los dos días hábiles siguientes a la puesta a disposición, y el plazo corre desde que la entrega se completa.</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por infracciones a derechos de terceros ni por otros incumplimientos que no pudieron advertirse razonablemente durante la revisión.</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en el momento que establezca la normativa tributaria. El precio es exigible cuando el producto está aceptado y la Adquirente ha recibido ese comprobante. La Adquirente paga en sus días de pago a proveedores, miércoles o jueves, a más tardar el jueves inmediato siguiente a la fecha en que se cumple la última de esas dos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episodio,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licencia comprende el producto final entregado. Los guiones, las grabaciones originales y los archivos editables se incluyen solo si la orden lo indica. La orden puede ampliar, limitar o precisar los derechos concedidos.</w:t>
      </w:r>
    </w:p>
    <w:p>
      <w:pPr>
        <w:spacing w:before="0" w:after="120" w:line="300" w:lineRule="auto"/>
      </w:pPr>
      <w:r>
        <w:rPr>
          <w:rFonts w:ascii="Georgia" w:hAnsi="Georgia"/>
          <w:b w:val="0"/>
          <w:color w:val="2F2E47"/>
          <w:sz w:val="21"/>
        </w:rPr>
        <w:t>La Proveedora concede solo los derechos de los que es titular. La exclusividad no alcanza los materiales de terceros, que se usan en los términos de sus licencias. Garantiza que los materiales de terceros incorporados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Ningún producto se elabora con expedientes clínicos, datos que identifiquen a pacientes, credenciales institucionales ni información sensible. La información confidencial que se entregue para una orden se guarda solo en los medios que la orden autorice, con acceso limitado, y se devuelve o se elimina al concluir la operación, salvo que la ley obligue a conservarla. Cualquier pérdida o divulgación no autorizada se comunica de inmediato a la Adquirente.</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o si por su naturaleza no admite corrección,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keepNext/>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keepNext/>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keepNext/>
        <w:spacing w:before="0" w:after="120" w:line="300" w:lineRule="auto"/>
      </w:pPr>
      <w:r>
        <w:rPr>
          <w:rFonts w:ascii="Georgia" w:hAnsi="Georgia"/>
          <w:b w:val="0"/>
          <w:color w:val="2F2E47"/>
          <w:sz w:val="21"/>
        </w:rPr>
        <w:t>Firmamos en dos tantos de igual valor, en San José, el ____ de ______________ de 2026.</w:t>
      </w:r>
    </w:p>
    <w:p>
      <w:pPr>
        <w:keepNext/>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Temas, invitados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1-1867-0233</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