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 Unicode MS" w:hAnsi="Arial Unicode MS" w:eastAsia="Arial Unicode MS"/>
          <w:b/>
          <w:sz w:val="44"/>
        </w:rPr>
        <w:t>MiroFish Fund Governance Edition</w:t>
      </w:r>
    </w:p>
    <w:p>
      <w:pPr>
        <w:spacing w:after="240"/>
      </w:pPr>
      <w:r>
        <w:rPr>
          <w:rFonts w:ascii="Arial Unicode MS" w:hAnsi="Arial Unicode MS" w:eastAsia="Arial Unicode MS"/>
          <w:b w:val="0"/>
          <w:color w:val="5A5A5A"/>
          <w:sz w:val="24"/>
        </w:rPr>
        <w:t>非技術基金經理人試用邀請包 - Synthetic Demo</w:t>
      </w:r>
    </w:p>
    <w:p>
      <w:pPr>
        <w:spacing w:after="120" w:line="276" w:lineRule="auto"/>
      </w:pPr>
      <w:r>
        <w:rPr>
          <w:rFonts w:ascii="Arial Unicode MS" w:hAnsi="Arial Unicode MS" w:eastAsia="Arial Unicode MS"/>
          <w:b w:val="0"/>
          <w:sz w:val="22"/>
        </w:rPr>
        <w:t>這份文件是給不需要 GitHub、不需要技術背景的基金經理人、前輩或 LP-facing reviewer 看的。所有內容都使用 synthetic data，不是真實基金資料，也不是法律、稅務、會計、投資或績效建議。</w:t>
      </w:r>
    </w:p>
    <w:p>
      <w:pPr>
        <w:spacing w:before="200" w:after="80"/>
      </w:pPr>
      <w:r>
        <w:rPr>
          <w:rFonts w:ascii="Arial Unicode MS" w:hAnsi="Arial Unicode MS" w:eastAsia="Arial Unicode MS"/>
          <w:b/>
          <w:color w:val="1F4D78"/>
          <w:sz w:val="30"/>
        </w:rPr>
        <w:t>你現在看到的是什麼</w:t>
      </w:r>
    </w:p>
    <w:p>
      <w:pPr>
        <w:spacing w:after="120" w:line="276" w:lineRule="auto"/>
      </w:pPr>
      <w:r>
        <w:rPr>
          <w:rFonts w:ascii="Arial Unicode MS" w:hAnsi="Arial Unicode MS" w:eastAsia="Arial Unicode MS"/>
          <w:b w:val="0"/>
          <w:sz w:val="22"/>
        </w:rPr>
        <w:t>MiroFish Fund Governance Edition 是一個基金治理模擬工具，用來演練 capital call、fund terms、waterfall、IC / LPAC 決策、LP 溝通、證據軌跡和 meeting pack 準備。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business-page-first-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A5A5A"/>
          <w:sz w:val="18"/>
        </w:rPr>
        <w:t>Synthetic fund-governance simulation 完成後的 demo 畫面。</w:t>
      </w:r>
    </w:p>
    <w:p>
      <w:r>
        <w:br w:type="page"/>
      </w:r>
    </w:p>
    <w:p>
      <w:pPr>
        <w:spacing w:before="200" w:after="80"/>
      </w:pPr>
      <w:r>
        <w:rPr>
          <w:rFonts w:ascii="Arial Unicode MS" w:hAnsi="Arial Unicode MS" w:eastAsia="Arial Unicode MS"/>
          <w:b/>
          <w:color w:val="1F4D78"/>
          <w:sz w:val="30"/>
        </w:rPr>
        <w:t>完成後報告會長什麼樣子</w:t>
      </w:r>
    </w:p>
    <w:p>
      <w:pPr>
        <w:spacing w:after="120" w:line="276" w:lineRule="auto"/>
      </w:pPr>
      <w:r>
        <w:rPr>
          <w:rFonts w:ascii="Arial Unicode MS" w:hAnsi="Arial Unicode MS" w:eastAsia="Arial Unicode MS"/>
          <w:b w:val="0"/>
          <w:sz w:val="22"/>
        </w:rPr>
        <w:t>完成後的 synthetic run 會產生一份 operating report，讓 reviewer 看見基金運作發生了什麼、哪些 fund terms 或 governance issues 被觸發，以及進入 LP、IC 或 LPAC 對話前應該討論什麼。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sz w:val="20"/>
              </w:rPr>
              <w:t>指標</w:t>
            </w:r>
          </w:p>
        </w:tc>
        <w:tc>
          <w:tcPr>
            <w:tcW w:type="dxa" w:w="1944"/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sz w:val="20"/>
              </w:rPr>
              <w:t>Synthetic Result</w:t>
            </w:r>
          </w:p>
        </w:tc>
        <w:tc>
          <w:tcPr>
            <w:tcW w:type="dxa" w:w="5184"/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sz w:val="20"/>
              </w:rPr>
              <w:t>Reviewer 要看什麼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Events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18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是否能形成可追蹤的基金運作 timeline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Capital called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1,150,000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capital call 是否清楚可檢查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Capital paid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1,150,000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synthetic LP 是否按時付款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Unfunded commitment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8,850,000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未出資承諾是否能用來做後續規劃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NAV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400,000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portfolio value 是否和現金分配分開呈現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Distributions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1,136,000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distribution / waterfall 邏輯是否可被檢查</w:t>
            </w:r>
          </w:p>
        </w:tc>
      </w:tr>
    </w:tbl>
    <w:p/>
    <w:p>
      <w:pPr>
        <w:spacing w:before="200" w:after="80"/>
      </w:pPr>
      <w:r>
        <w:rPr>
          <w:rFonts w:ascii="Arial Unicode MS" w:hAnsi="Arial Unicode MS" w:eastAsia="Arial Unicode MS"/>
          <w:b/>
          <w:color w:val="1F4D78"/>
          <w:sz w:val="30"/>
        </w:rPr>
        <w:t>這份 sample 會引出的治理問題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sz w:val="21"/>
        </w:rPr>
        <w:t>Follow-on reserve 決策應該由 IC approval、LPAC consent，還是 manager discretion 處理？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sz w:val="21"/>
        </w:rPr>
        <w:t>哪些文件段落或 memo excerpts 應該被綁成 approval 前的 evidence？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sz w:val="21"/>
        </w:rPr>
        <w:t>Distribution summary 是否已經顯示足夠的 waterfall 邏輯，能支持 LP-facing conversation？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sz w:val="21"/>
        </w:rPr>
        <w:t>哪些 assumptions 應該在下一次 simulation run 前允許使用者調整？</w:t>
      </w:r>
    </w:p>
    <w:p>
      <w:pPr>
        <w:spacing w:before="200" w:after="80"/>
      </w:pPr>
      <w:r>
        <w:rPr>
          <w:rFonts w:ascii="Arial Unicode MS" w:hAnsi="Arial Unicode MS" w:eastAsia="Arial Unicode MS"/>
          <w:b/>
          <w:color w:val="1F4D78"/>
          <w:sz w:val="30"/>
        </w:rPr>
        <w:t>想請你幫忙看的三個問題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sz w:val="21"/>
        </w:rPr>
        <w:t>如果你是基金經理人或 LP-facing advisor，這份 output 哪一部分最可能在真實對話裡有用？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sz w:val="21"/>
        </w:rPr>
        <w:t>哪一部分還不清楚、太技術、或還不夠可信？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b w:val="0"/>
          <w:sz w:val="21"/>
        </w:rPr>
        <w:t>如果要讓你願意把這個介紹給另一位基金經理人、LP、IC member 或 LPAC reviewer，還需要補什麼？</w:t>
      </w:r>
    </w:p>
    <w:p>
      <w:pPr>
        <w:spacing w:before="200" w:after="80"/>
      </w:pPr>
      <w:r>
        <w:rPr>
          <w:rFonts w:ascii="Arial Unicode MS" w:hAnsi="Arial Unicode MS" w:eastAsia="Arial Unicode MS"/>
          <w:b/>
          <w:color w:val="1F4D78"/>
          <w:sz w:val="30"/>
        </w:rPr>
        <w:t>邊界</w:t>
      </w:r>
    </w:p>
    <w:p>
      <w:pPr>
        <w:spacing w:after="0" w:line="276" w:lineRule="auto"/>
      </w:pPr>
      <w:r>
        <w:rPr>
          <w:rFonts w:ascii="Arial Unicode MS" w:hAnsi="Arial Unicode MS" w:eastAsia="Arial Unicode MS"/>
          <w:b w:val="0"/>
          <w:sz w:val="22"/>
        </w:rPr>
        <w:t>這是一份 synthetic product demonstration。它不包含真實 LP 資料、真實基金文件、投資人身份、銀行資訊、稅務紀錄、法律意見、會計紀錄或投資建議。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