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sz w:val="44"/>
        </w:rPr>
        <w:t>MiroFish Fund Governance Edition</w:t>
      </w:r>
    </w:p>
    <w:p>
      <w:pPr>
        <w:spacing w:after="240"/>
      </w:pPr>
      <w:r>
        <w:rPr>
          <w:rFonts w:ascii="Calibri" w:hAnsi="Calibri"/>
          <w:b w:val="0"/>
          <w:color w:val="5A5A5A"/>
          <w:sz w:val="24"/>
        </w:rPr>
        <w:t>Nontechnical Reviewer Pack - Synthetic Demo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This pack is for a fund manager, senior advisor, or LP-facing reviewer who does not need GitHub access. It uses synthetic data only and is not legal, tax, accounting, investment, or performance advice.</w:t>
      </w:r>
    </w:p>
    <w:p>
      <w:pPr>
        <w:spacing w:before="200" w:after="80"/>
      </w:pPr>
      <w:r>
        <w:rPr>
          <w:rFonts w:ascii="Calibri" w:hAnsi="Calibri"/>
          <w:b/>
          <w:color w:val="1F4D78"/>
          <w:sz w:val="30"/>
        </w:rPr>
        <w:t>What You Are Looking At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MiroFish Fund Governance Edition is a simulation layer for rehearsing fund operations: capital calls, fund terms, waterfall, IC / LPAC decisions, LP communication, evidence trails, and meeting-pack preparation.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5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business-page-first-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A5A5A"/>
          <w:sz w:val="18"/>
        </w:rPr>
        <w:t>Demo screen after a synthetic fund-governance simulation run.</w:t>
      </w:r>
    </w:p>
    <w:p>
      <w:pPr>
        <w:spacing w:before="200" w:after="80"/>
      </w:pPr>
      <w:r>
        <w:rPr>
          <w:rFonts w:ascii="Calibri" w:hAnsi="Calibri"/>
          <w:b/>
          <w:color w:val="1F4D78"/>
          <w:sz w:val="30"/>
        </w:rPr>
        <w:t>Sample Completed Report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The completed synthetic run produces an operating report that lets a reviewer inspect what happened, which fund terms or governance issues were triggered, and what should be discussed before LP or IC / LPAC review.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F2F4F7"/>
          </w:tcPr>
          <w:p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1944"/>
            <w:vAlign w:val="center"/>
            <w:shd w:fill="F2F4F7"/>
          </w:tcPr>
          <w:p>
            <w:r>
              <w:rPr>
                <w:rFonts w:ascii="Calibri" w:hAnsi="Calibri"/>
                <w:b/>
                <w:sz w:val="20"/>
              </w:rPr>
              <w:t>Synthetic Result</w:t>
            </w:r>
          </w:p>
        </w:tc>
        <w:tc>
          <w:tcPr>
            <w:tcW w:type="dxa" w:w="5184"/>
            <w:vAlign w:val="center"/>
            <w:shd w:fill="F2F4F7"/>
          </w:tcPr>
          <w:p>
            <w:r>
              <w:rPr>
                <w:rFonts w:ascii="Calibri" w:hAnsi="Calibri"/>
                <w:b/>
                <w:sz w:val="20"/>
              </w:rPr>
              <w:t>Reviewer Meaning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Events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9"/>
              </w:rPr>
              <w:t>18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Traceable fund-operation timeline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Capital called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9"/>
              </w:rPr>
              <w:t>1,150,000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Capital call activity is visible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Capital paid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9"/>
              </w:rPr>
              <w:t>1,150,000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Synthetic LP paid on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Unfunded commitment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9"/>
              </w:rPr>
              <w:t>8,850,000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Remaining commitment is visible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NAV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9"/>
              </w:rPr>
              <w:t>400,000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Portfolio value shown separately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Distributions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9"/>
              </w:rPr>
              <w:t>1,136,000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Distribution logic can be inspected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1F4D78"/>
          <w:sz w:val="30"/>
        </w:rPr>
        <w:t>Governance Questions Raised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Should the follow-on reserve decision require IC approval, LPAC consent, or manager discretion?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Which document excerpts should be bound as evidence before approval?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Does the distribution summary show enough waterfall logic for an LP-facing conversation?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Which assumptions should be editable before the next simulation run?</w:t>
      </w:r>
    </w:p>
    <w:p>
      <w:pPr>
        <w:spacing w:before="200" w:after="80"/>
      </w:pPr>
      <w:r>
        <w:rPr>
          <w:rFonts w:ascii="Calibri" w:hAnsi="Calibri"/>
          <w:b/>
          <w:color w:val="1F4D78"/>
          <w:sz w:val="30"/>
        </w:rPr>
        <w:t>Three Questions For The Reviewer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1"/>
        </w:rPr>
        <w:t>If you were a fund manager or LP-facing advisor, which part of this output would be most useful in a real conversation?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1"/>
        </w:rPr>
        <w:t>Which part is unclear, too technical, or not yet credible?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1"/>
        </w:rPr>
        <w:t>What would need to be added before you would introduce this to another fund manager, LP, IC member, or LPAC reviewer?</w:t>
      </w:r>
    </w:p>
    <w:p>
      <w:pPr>
        <w:spacing w:before="200" w:after="80"/>
      </w:pPr>
      <w:r>
        <w:rPr>
          <w:rFonts w:ascii="Calibri" w:hAnsi="Calibri"/>
          <w:b/>
          <w:color w:val="1F4D78"/>
          <w:sz w:val="30"/>
        </w:rPr>
        <w:t>Boundary</w:t>
      </w:r>
    </w:p>
    <w:p>
      <w:pPr>
        <w:spacing w:after="0" w:line="264" w:lineRule="auto"/>
      </w:pPr>
      <w:r>
        <w:rPr>
          <w:rFonts w:ascii="Calibri" w:hAnsi="Calibri"/>
          <w:b w:val="0"/>
          <w:sz w:val="22"/>
        </w:rPr>
        <w:t>This is a synthetic product demonstration. It does not include real LP data, real fund documents, investor identifiers, bank information, tax records, legal advice, accounting records, or investment advice.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