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游明朝" w:cs="游明朝" w:eastAsia="游明朝" w:hAnsi="游明朝"/>
          <w:sz w:val="24"/>
          <w:szCs w:val="24"/>
        </w:rPr>
        <w:t xml:space="preserve">[病院名]</w:t>
      </w:r>
    </w:p>
    <w:p>
      <w:pPr>
        <w:spacing w:after="200" w:before="300"/>
        <w:jc w:val="center"/>
      </w:pPr>
      <w:r>
        <w:rPr>
          <w:rFonts w:ascii="游明朝" w:cs="游明朝" w:eastAsia="游明朝" w:hAnsi="游明朝"/>
          <w:b/>
          <w:bCs/>
          <w:sz w:val="40"/>
          <w:szCs w:val="40"/>
        </w:rPr>
        <w:t xml:space="preserve">感染管理リンクナース認定制度規程</w:t>
      </w:r>
    </w:p>
    <w:p>
      <w:pPr>
        <w:spacing w:before="800"/>
        <w:jc w:val="center"/>
      </w:pPr>
      <w:r>
        <w:rPr>
          <w:rFonts w:ascii="游明朝" w:cs="游明朝" w:eastAsia="游明朝" w:hAnsi="游明朝"/>
          <w:sz w:val="22"/>
          <w:szCs w:val="22"/>
        </w:rPr>
        <w:t xml:space="preserve">（案）</w:t>
      </w:r>
    </w:p>
    <w:p>
      <w:pPr>
        <w:spacing w:before="3200"/>
        <w:jc w:val="center"/>
      </w:pPr>
      <w:r>
        <w:rPr>
          <w:rFonts w:ascii="游明朝" w:cs="游明朝" w:eastAsia="游明朝" w:hAnsi="游明朝"/>
          <w:sz w:val="20"/>
          <w:szCs w:val="20"/>
        </w:rPr>
        <w:t xml:space="preserve">制定：20xx年xx月xx日</w:t>
      </w:r>
    </w:p>
    <w:p>
      <w:pPr>
        <w:jc w:val="center"/>
      </w:pPr>
      <w:r>
        <w:rPr>
          <w:rFonts w:ascii="游明朝" w:cs="游明朝" w:eastAsia="游明朝" w:hAnsi="游明朝"/>
          <w:sz w:val="20"/>
          <w:szCs w:val="20"/>
        </w:rPr>
        <w:t xml:space="preserve">所管：感染対策委員会／感染制御チーム（ICT）</w:t>
      </w:r>
    </w:p>
    <w:p>
      <w:r>
        <w:br w:type="page"/>
      </w:r>
    </w:p>
    <w:p>
      <w:pPr>
        <w:pStyle w:val="Heading1"/>
        <w:spacing w:after="120" w:before="240"/>
      </w:pPr>
      <w:r>
        <w:rPr>
          <w:rFonts w:ascii="游明朝" w:cs="游明朝" w:eastAsia="游明朝" w:hAnsi="游明朝"/>
          <w:b/>
          <w:bCs/>
        </w:rPr>
        <w:t xml:space="preserve">第1章　総則</w:t>
      </w:r>
    </w:p>
    <w:p>
      <w:pPr>
        <w:spacing w:after="80" w:before="200"/>
      </w:pPr>
      <w:r>
        <w:rPr>
          <w:rFonts w:ascii="游明朝" w:cs="游明朝" w:eastAsia="游明朝" w:hAnsi="游明朝"/>
          <w:b/>
          <w:bCs/>
        </w:rPr>
        <w:t xml:space="preserve">第1条（目的）</w:t>
      </w:r>
    </w:p>
    <w:p>
      <w:pPr>
        <w:spacing w:after="100" w:line="300"/>
        <w:ind w:left="360"/>
      </w:pPr>
      <w:r>
        <w:rPr>
          <w:rFonts w:ascii="游明朝" w:cs="游明朝" w:eastAsia="游明朝" w:hAnsi="游明朝"/>
        </w:rPr>
        <w:t xml:space="preserve">この規程は、[病院名]（以下「当院」という。）の感染制御チーム（以下「ICT」という。）活動の一環として既に設置されているリンクナース会について、各メンバー（以下「リンクナース」という。）の役割及び求められる能力を明確化するとともに、教育・認定の仕組みを整備することを目的とする。</w:t>
      </w:r>
    </w:p>
    <w:p>
      <w:pPr>
        <w:spacing w:after="80" w:before="200"/>
      </w:pPr>
      <w:r>
        <w:rPr>
          <w:rFonts w:ascii="游明朝" w:cs="游明朝" w:eastAsia="游明朝" w:hAnsi="游明朝"/>
          <w:b/>
          <w:bCs/>
        </w:rPr>
        <w:t xml:space="preserve">第2条（定義）</w:t>
      </w:r>
    </w:p>
    <w:p>
      <w:pPr>
        <w:spacing w:after="100" w:line="300"/>
        <w:ind w:left="360"/>
      </w:pPr>
      <w:r>
        <w:rPr>
          <w:rFonts w:ascii="游明朝" w:cs="游明朝" w:eastAsia="游明朝" w:hAnsi="游明朝"/>
        </w:rPr>
        <w:t xml:space="preserve">リンクナースとは、ICTと所属部署（病棟・外来・中央部門等）とをつなぐ窓口として、部署内における標準予防策・感染経路別予防策の遵守状況の確認、日常的な指導、ICTからの情報伝達、部署の状況のICTへのフィードバック等を担う看護師をいう。</w:t>
      </w:r>
    </w:p>
    <w:p>
      <w:pPr>
        <w:spacing w:after="100" w:line="300"/>
        <w:ind w:left="360"/>
      </w:pPr>
      <w:r>
        <w:rPr>
          <w:rFonts w:ascii="游明朝" w:cs="游明朝" w:eastAsia="游明朝" w:hAnsi="游明朝"/>
        </w:rPr>
        <w:t xml:space="preserve">リンクナース会とは、各部署のリンクナースで構成され、ICTのもとで教育・情報共有を行う会をいう。</w:t>
      </w:r>
    </w:p>
    <w:p>
      <w:pPr>
        <w:spacing w:after="100" w:line="300"/>
        <w:ind w:left="360"/>
      </w:pPr>
      <w:r>
        <w:rPr>
          <w:rFonts w:ascii="游明朝" w:cs="游明朝" w:eastAsia="游明朝" w:hAnsi="游明朝"/>
        </w:rPr>
        <w:t xml:space="preserve">「修了」とは、第10条に定める確認テストにより各回のテーマの理解度確認基準を満たしたことをいう。</w:t>
      </w:r>
    </w:p>
    <w:p>
      <w:pPr>
        <w:spacing w:after="100" w:line="300"/>
        <w:ind w:left="360"/>
      </w:pPr>
      <w:r>
        <w:rPr>
          <w:rFonts w:ascii="游明朝" w:cs="游明朝" w:eastAsia="游明朝" w:hAnsi="游明朝"/>
        </w:rPr>
        <w:t xml:space="preserve">「認定」とは、年間を通じた修了状況が第12条に定める基準を満たした者を、当院が「認定リンクナース」として承認することをいう。</w:t>
      </w:r>
    </w:p>
    <w:p>
      <w:pPr>
        <w:spacing w:after="80" w:before="200"/>
      </w:pPr>
      <w:r>
        <w:rPr>
          <w:rFonts w:ascii="游明朝" w:cs="游明朝" w:eastAsia="游明朝" w:hAnsi="游明朝"/>
          <w:b/>
          <w:bCs/>
        </w:rPr>
        <w:t xml:space="preserve">第3条（位置づけ）</w:t>
      </w:r>
    </w:p>
    <w:p>
      <w:pPr>
        <w:spacing w:after="100" w:line="300"/>
        <w:ind w:left="360"/>
      </w:pPr>
      <w:r>
        <w:rPr>
          <w:rFonts w:ascii="游明朝" w:cs="游明朝" w:eastAsia="游明朝" w:hAnsi="游明朝"/>
        </w:rPr>
        <w:t xml:space="preserve">リンクナース会は、感染対策委員会及びICTの指揮のもとで活動する。本制度は、既存のリンクナース会の役割・能力・教育の仕組みを明文化するものであり、リンクナース会そのものを新設するものではない。</w:t>
      </w:r>
    </w:p>
    <w:p>
      <w:pPr>
        <w:pStyle w:val="Heading1"/>
        <w:spacing w:after="120" w:before="240"/>
      </w:pPr>
      <w:r>
        <w:rPr>
          <w:rFonts w:ascii="游明朝" w:cs="游明朝" w:eastAsia="游明朝" w:hAnsi="游明朝"/>
          <w:b/>
          <w:bCs/>
        </w:rPr>
        <w:t xml:space="preserve">第2章　リンクナースの役割及び求められる能力</w:t>
      </w:r>
    </w:p>
    <w:p>
      <w:pPr>
        <w:spacing w:after="80" w:before="200"/>
      </w:pPr>
      <w:r>
        <w:rPr>
          <w:rFonts w:ascii="游明朝" w:cs="游明朝" w:eastAsia="游明朝" w:hAnsi="游明朝"/>
          <w:b/>
          <w:bCs/>
        </w:rPr>
        <w:t xml:space="preserve">第4条（配置）</w:t>
      </w:r>
    </w:p>
    <w:p>
      <w:pPr>
        <w:spacing w:after="100" w:line="300"/>
        <w:ind w:left="360"/>
      </w:pPr>
      <w:r>
        <w:rPr>
          <w:rFonts w:ascii="游明朝" w:cs="游明朝" w:eastAsia="游明朝" w:hAnsi="游明朝"/>
        </w:rPr>
        <w:t xml:space="preserve">各部署に、原則として1〜2名のリンクナースを配置する。選出は所属部署の看護師長の推薦及び看護部長の承認による。</w:t>
      </w:r>
    </w:p>
    <w:p>
      <w:pPr>
        <w:spacing w:after="80" w:before="200"/>
      </w:pPr>
      <w:r>
        <w:rPr>
          <w:rFonts w:ascii="游明朝" w:cs="游明朝" w:eastAsia="游明朝" w:hAnsi="游明朝"/>
          <w:b/>
          <w:bCs/>
        </w:rPr>
        <w:t xml:space="preserve">第5条（役割）</w:t>
      </w:r>
    </w:p>
    <w:p>
      <w:pPr>
        <w:spacing w:after="100" w:line="300"/>
        <w:ind w:left="360"/>
      </w:pPr>
      <w:r>
        <w:rPr>
          <w:rFonts w:ascii="游明朝" w:cs="游明朝" w:eastAsia="游明朝" w:hAnsi="游明朝"/>
        </w:rPr>
        <w:t xml:space="preserve">リンクナースは、所属部署において主として次の活動を行う。「感染に関することを何となく担う人」ではなく、下記を「部署における感染対策の実践的な推進役」として明確に担うものとする。</w:t>
      </w:r>
    </w:p>
    <w:p>
      <w:pPr>
        <w:pStyle w:val="ListParagraph"/>
        <w:numPr>
          <w:ilvl w:val="0"/>
          <w:numId w:val="2"/>
        </w:numPr>
        <w:spacing w:after="60" w:line="300"/>
      </w:pPr>
      <w:r>
        <w:rPr>
          <w:rFonts w:ascii="游明朝" w:cs="游明朝" w:eastAsia="游明朝" w:hAnsi="游明朝"/>
        </w:rPr>
        <w:t xml:space="preserve">手指衛生・標準予防策・感染経路別予防策の遵守状況の観察及び現場での指導</w:t>
      </w:r>
    </w:p>
    <w:p>
      <w:pPr>
        <w:pStyle w:val="ListParagraph"/>
        <w:numPr>
          <w:ilvl w:val="0"/>
          <w:numId w:val="2"/>
        </w:numPr>
        <w:spacing w:after="60" w:line="300"/>
      </w:pPr>
      <w:r>
        <w:rPr>
          <w:rFonts w:ascii="游明朝" w:cs="游明朝" w:eastAsia="游明朝" w:hAnsi="游明朝"/>
        </w:rPr>
        <w:t xml:space="preserve">個人防護具の適正な使用に関する助言</w:t>
      </w:r>
    </w:p>
    <w:p>
      <w:pPr>
        <w:pStyle w:val="ListParagraph"/>
        <w:numPr>
          <w:ilvl w:val="0"/>
          <w:numId w:val="2"/>
        </w:numPr>
        <w:spacing w:after="60" w:line="300"/>
      </w:pPr>
      <w:r>
        <w:rPr>
          <w:rFonts w:ascii="游明朝" w:cs="游明朝" w:eastAsia="游明朝" w:hAnsi="游明朝"/>
        </w:rPr>
        <w:t xml:space="preserve">ICTからの情報・注意喚起の部署内への周知</w:t>
      </w:r>
    </w:p>
    <w:p>
      <w:pPr>
        <w:pStyle w:val="ListParagraph"/>
        <w:numPr>
          <w:ilvl w:val="0"/>
          <w:numId w:val="2"/>
        </w:numPr>
        <w:spacing w:after="60" w:line="300"/>
      </w:pPr>
      <w:r>
        <w:rPr>
          <w:rFonts w:ascii="游明朝" w:cs="游明朝" w:eastAsia="游明朝" w:hAnsi="游明朝"/>
        </w:rPr>
        <w:t xml:space="preserve">部署内で気づいた課題・懸念事項のICTへのフィードバック</w:t>
      </w:r>
    </w:p>
    <w:p>
      <w:pPr>
        <w:pStyle w:val="ListParagraph"/>
        <w:numPr>
          <w:ilvl w:val="0"/>
          <w:numId w:val="2"/>
        </w:numPr>
        <w:spacing w:after="60" w:line="300"/>
      </w:pPr>
      <w:r>
        <w:rPr>
          <w:rFonts w:ascii="游明朝" w:cs="游明朝" w:eastAsia="游明朝" w:hAnsi="游明朝"/>
        </w:rPr>
        <w:t xml:space="preserve">医療関連感染サーベイランスへの協力（データ収集の補助等）</w:t>
      </w:r>
    </w:p>
    <w:p>
      <w:pPr>
        <w:pStyle w:val="ListParagraph"/>
        <w:numPr>
          <w:ilvl w:val="0"/>
          <w:numId w:val="2"/>
        </w:numPr>
        <w:spacing w:after="60" w:line="300"/>
      </w:pPr>
      <w:r>
        <w:rPr>
          <w:rFonts w:ascii="游明朝" w:cs="游明朝" w:eastAsia="游明朝" w:hAnsi="游明朝"/>
        </w:rPr>
        <w:t xml:space="preserve">アウトブレイク発生時における部署内初期対応の補助及び情報収集</w:t>
      </w:r>
    </w:p>
    <w:p>
      <w:pPr>
        <w:pStyle w:val="ListParagraph"/>
        <w:numPr>
          <w:ilvl w:val="0"/>
          <w:numId w:val="2"/>
        </w:numPr>
        <w:spacing w:after="60" w:line="300"/>
      </w:pPr>
      <w:r>
        <w:rPr>
          <w:rFonts w:ascii="游明朝" w:cs="游明朝" w:eastAsia="游明朝" w:hAnsi="游明朝"/>
        </w:rPr>
        <w:t xml:space="preserve">新人・異動者に対する部署内での感染対策オリエンテーション</w:t>
      </w:r>
    </w:p>
    <w:p>
      <w:pPr>
        <w:spacing w:after="120" w:line="300"/>
      </w:pPr>
      <w:r>
        <w:rPr>
          <w:rFonts w:ascii="游明朝" w:cs="游明朝" w:eastAsia="游明朝" w:hAnsi="游明朝"/>
        </w:rPr>
        <w:t xml:space="preserve"/>
      </w:r>
    </w:p>
    <w:p>
      <w:pPr>
        <w:spacing w:after="80" w:before="200"/>
      </w:pPr>
      <w:r>
        <w:rPr>
          <w:rFonts w:ascii="游明朝" w:cs="游明朝" w:eastAsia="游明朝" w:hAnsi="游明朝"/>
          <w:b/>
          <w:bCs/>
        </w:rPr>
        <w:t xml:space="preserve">第6条（求められる能力）</w:t>
      </w:r>
    </w:p>
    <w:p>
      <w:pPr>
        <w:spacing w:after="100" w:line="300"/>
        <w:ind w:left="360"/>
      </w:pPr>
      <w:r>
        <w:rPr>
          <w:rFonts w:ascii="游明朝" w:cs="游明朝" w:eastAsia="游明朝" w:hAnsi="游明朝"/>
        </w:rPr>
        <w:t xml:space="preserve">リンクナースに求められる能力は、別紙1「リンクナース　コンピテンシー一覧」に定める「知識」「技術」「実践・連携」の3領域により整理する。</w:t>
      </w:r>
    </w:p>
    <w:p>
      <w:pPr>
        <w:spacing w:after="100" w:line="300"/>
        <w:ind w:left="360"/>
      </w:pPr>
      <w:r>
        <w:rPr>
          <w:rFonts w:ascii="游明朝" w:cs="游明朝" w:eastAsia="游明朝" w:hAnsi="游明朝"/>
        </w:rPr>
        <w:t xml:space="preserve">感染対策委員会は、コンピテンシー一覧を教育内容及び確認テストの設計、並びに第12条の認定判定の基礎として用いる。</w:t>
      </w:r>
    </w:p>
    <w:p>
      <w:pPr>
        <w:spacing w:after="80" w:before="120"/>
      </w:pPr>
      <w:r>
        <w:rPr>
          <w:rFonts w:ascii="游明朝" w:cs="游明朝" w:eastAsia="游明朝" w:hAnsi="游明朝"/>
          <w:b/>
          <w:bCs/>
        </w:rPr>
        <w:t xml:space="preserve">【別紙1】リンクナース　コンピテンシー一覧</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06"/>
      </w:tblGrid>
      <w:tr>
        <w:trPr>
          <w:tblHeader/>
        </w:trPr>
        <w:tc>
          <w:tcPr>
            <w:tcW w:type="dxa" w:w="1400"/>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領域</w:t>
            </w:r>
          </w:p>
        </w:tc>
        <w:tc>
          <w:tcPr>
            <w:tcW w:type="dxa" w:w="4400"/>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求められる能力</w:t>
            </w:r>
          </w:p>
        </w:tc>
        <w:tc>
          <w:tcPr>
            <w:tcW w:type="dxa" w:w="3506"/>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到達の目安</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知識</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標準予防策・感染経路別予防策（接触／飛沫／空気）の考え方を説明できる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任命後〜基礎学習</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知識</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部署で頻度の高い医療関連感染（CAUTI・SSI・VAP等）の基礎を理解している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任命後〜基礎学習</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知識</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消毒・滅菌の原則、感染性廃棄物の取扱いを理解している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任命後〜基礎学習</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技術</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手指衛生の5つのタイミングと正しい手技で実施できる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任命後〜基礎学習</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技術</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個人防護具（PPE）を正しく選択・着脱できる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任命後〜基礎学習</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技術</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部署内の遵守状況を観察し、記録できる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1年目</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実践・連携</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現場で気づいた逸脱に対し、その場で声かけ・指導ができる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1年目以降</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実践・連携</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ICTからの情報を部署内にわかりやすく伝達できる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1年目以降</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実践・連携</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部署の懸念・課題をICTへ的確にフィードバックできる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1年目以降</w:t>
            </w:r>
          </w:p>
        </w:tc>
      </w:tr>
      <w:tr>
        <w:tc>
          <w:tcPr>
            <w:tcW w:type="dxa" w:w="1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実践・連携</w:t>
            </w:r>
          </w:p>
        </w:tc>
        <w:tc>
          <w:tcPr>
            <w:tcW w:type="dxa" w:w="44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アウトブレイク時に部署内の初期対応を主体的に行える</w:t>
            </w:r>
          </w:p>
        </w:tc>
        <w:tc>
          <w:tcPr>
            <w:tcW w:type="dxa" w:w="35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認定後・継続</w:t>
            </w:r>
          </w:p>
        </w:tc>
      </w:tr>
    </w:tbl>
    <w:p>
      <w:pPr>
        <w:spacing w:after="120" w:line="300"/>
      </w:pPr>
      <w:r>
        <w:rPr>
          <w:rFonts w:ascii="游明朝" w:cs="游明朝" w:eastAsia="游明朝" w:hAnsi="游明朝"/>
        </w:rPr>
        <w:t xml:space="preserve"/>
      </w:r>
    </w:p>
    <w:p>
      <w:pPr>
        <w:pStyle w:val="Heading1"/>
        <w:spacing w:after="120" w:before="240"/>
      </w:pPr>
      <w:r>
        <w:rPr>
          <w:rFonts w:ascii="游明朝" w:cs="游明朝" w:eastAsia="游明朝" w:hAnsi="游明朝"/>
          <w:b/>
          <w:bCs/>
        </w:rPr>
        <w:t xml:space="preserve">第3章　教育体系</w:t>
      </w:r>
    </w:p>
    <w:p>
      <w:pPr>
        <w:spacing w:after="80" w:before="200"/>
      </w:pPr>
      <w:r>
        <w:rPr>
          <w:rFonts w:ascii="游明朝" w:cs="游明朝" w:eastAsia="游明朝" w:hAnsi="游明朝"/>
          <w:b/>
          <w:bCs/>
        </w:rPr>
        <w:t xml:space="preserve">第7条（教育の構成）</w:t>
      </w:r>
    </w:p>
    <w:p>
      <w:pPr>
        <w:spacing w:after="100" w:line="300"/>
        <w:ind w:left="360"/>
      </w:pPr>
      <w:r>
        <w:rPr>
          <w:rFonts w:ascii="游明朝" w:cs="游明朝" w:eastAsia="游明朝" w:hAnsi="游明朝"/>
        </w:rPr>
        <w:t xml:space="preserve">リンクナースの教育は、次の3つを組み合わせて行う。</w:t>
      </w:r>
    </w:p>
    <w:p>
      <w:pPr>
        <w:pStyle w:val="ListParagraph"/>
        <w:numPr>
          <w:ilvl w:val="0"/>
          <w:numId w:val="2"/>
        </w:numPr>
        <w:spacing w:after="60" w:line="300"/>
      </w:pPr>
      <w:r>
        <w:rPr>
          <w:rFonts w:ascii="游明朝" w:cs="游明朝" w:eastAsia="游明朝" w:hAnsi="游明朝"/>
        </w:rPr>
        <w:t xml:space="preserve">① 月次ミニレクチャー：毎月1回・約15分、リンクナース会にて実施する対面／オンラインの短時間講義</w:t>
      </w:r>
    </w:p>
    <w:p>
      <w:pPr>
        <w:pStyle w:val="ListParagraph"/>
        <w:numPr>
          <w:ilvl w:val="0"/>
          <w:numId w:val="2"/>
        </w:numPr>
        <w:spacing w:after="60" w:line="300"/>
      </w:pPr>
      <w:r>
        <w:rPr>
          <w:rFonts w:ascii="游明朝" w:cs="游明朝" w:eastAsia="游明朝" w:hAnsi="游明朝"/>
        </w:rPr>
        <w:t xml:space="preserve">② eラーニング：ミニレクチャーの内容を補完する自己学習教材（資料・動画等）で、各自の都合で視聴する</w:t>
      </w:r>
    </w:p>
    <w:p>
      <w:pPr>
        <w:pStyle w:val="ListParagraph"/>
        <w:numPr>
          <w:ilvl w:val="0"/>
          <w:numId w:val="2"/>
        </w:numPr>
        <w:spacing w:after="60" w:line="300"/>
      </w:pPr>
      <w:r>
        <w:rPr>
          <w:rFonts w:ascii="游明朝" w:cs="游明朝" w:eastAsia="游明朝" w:hAnsi="游明朝"/>
        </w:rPr>
        <w:t xml:space="preserve">③ 確認テスト：①②の内容について、オンラインフォーム（Googleフォーム等）により理解度を確認する</w:t>
      </w:r>
    </w:p>
    <w:p>
      <w:pPr>
        <w:spacing w:after="120" w:line="300"/>
      </w:pPr>
      <w:r>
        <w:rPr>
          <w:rFonts w:ascii="游明朝" w:cs="游明朝" w:eastAsia="游明朝" w:hAnsi="游明朝"/>
        </w:rPr>
        <w:t xml:space="preserve"/>
      </w:r>
    </w:p>
    <w:p>
      <w:pPr>
        <w:spacing w:after="80" w:before="200"/>
      </w:pPr>
      <w:r>
        <w:rPr>
          <w:rFonts w:ascii="游明朝" w:cs="游明朝" w:eastAsia="游明朝" w:hAnsi="游明朝"/>
          <w:b/>
          <w:bCs/>
        </w:rPr>
        <w:t xml:space="preserve">第8条（月次ミニレクチャー）</w:t>
      </w:r>
    </w:p>
    <w:p>
      <w:pPr>
        <w:spacing w:after="100" w:line="300"/>
        <w:ind w:left="360"/>
      </w:pPr>
      <w:r>
        <w:rPr>
          <w:rFonts w:ascii="游明朝" w:cs="游明朝" w:eastAsia="游明朝" w:hAnsi="游明朝"/>
        </w:rPr>
        <w:t xml:space="preserve">月次ミニレクチャーは、別紙2「年間教育計画（例）」に定めるテーマに沿って、感染対策委員会・ICTが企画し、既存のリンクナース会の場を活用して実施する。</w:t>
      </w:r>
    </w:p>
    <w:p>
      <w:pPr>
        <w:spacing w:after="100" w:line="300"/>
        <w:ind w:left="360"/>
      </w:pPr>
      <w:r>
        <w:rPr>
          <w:rFonts w:ascii="游明朝" w:cs="游明朝" w:eastAsia="游明朝" w:hAnsi="游明朝"/>
        </w:rPr>
        <w:t xml:space="preserve">やむを得ず欠席した場合は、eラーニング教材の視聴をもって代替出席とすることができる。</w:t>
      </w:r>
    </w:p>
    <w:p>
      <w:pPr>
        <w:spacing w:after="80" w:before="200"/>
      </w:pPr>
      <w:r>
        <w:rPr>
          <w:rFonts w:ascii="游明朝" w:cs="游明朝" w:eastAsia="游明朝" w:hAnsi="游明朝"/>
          <w:b/>
          <w:bCs/>
        </w:rPr>
        <w:t xml:space="preserve">第9条（eラーニング）</w:t>
      </w:r>
    </w:p>
    <w:p>
      <w:pPr>
        <w:spacing w:after="100" w:line="300"/>
        <w:ind w:left="360"/>
      </w:pPr>
      <w:r>
        <w:rPr>
          <w:rFonts w:ascii="游明朝" w:cs="游明朝" w:eastAsia="游明朝" w:hAnsi="游明朝"/>
        </w:rPr>
        <w:t xml:space="preserve">ICTは、月次ミニレクチャーの内容を録画又は資料化し、リンクナースがいつでも視聴・閲覧できる形で提供する。</w:t>
      </w:r>
    </w:p>
    <w:p>
      <w:pPr>
        <w:spacing w:after="100" w:line="300"/>
        <w:ind w:left="360"/>
      </w:pPr>
      <w:r>
        <w:rPr>
          <w:rFonts w:ascii="游明朝" w:cs="游明朝" w:eastAsia="游明朝" w:hAnsi="游明朝"/>
        </w:rPr>
        <w:t xml:space="preserve">新任のリンクナースは、過去のテーマについても順次eラーニング教材で学習するものとする。</w:t>
      </w:r>
    </w:p>
    <w:p>
      <w:pPr>
        <w:spacing w:after="80" w:before="200"/>
      </w:pPr>
      <w:r>
        <w:rPr>
          <w:rFonts w:ascii="游明朝" w:cs="游明朝" w:eastAsia="游明朝" w:hAnsi="游明朝"/>
          <w:b/>
          <w:bCs/>
        </w:rPr>
        <w:t xml:space="preserve">第10条（確認テスト）</w:t>
      </w:r>
    </w:p>
    <w:p>
      <w:pPr>
        <w:spacing w:after="100" w:line="300"/>
        <w:ind w:left="360"/>
      </w:pPr>
      <w:r>
        <w:rPr>
          <w:rFonts w:ascii="游明朝" w:cs="游明朝" w:eastAsia="游明朝" w:hAnsi="游明朝"/>
        </w:rPr>
        <w:t xml:space="preserve">確認テストは、各テーマの月次ミニレクチャー又はeラーニング視聴の後、オンラインフォームを用いて実施する。</w:t>
      </w:r>
    </w:p>
    <w:p>
      <w:pPr>
        <w:spacing w:after="100" w:line="300"/>
        <w:ind w:left="360"/>
      </w:pPr>
      <w:r>
        <w:rPr>
          <w:rFonts w:ascii="游明朝" w:cs="游明朝" w:eastAsia="游明朝" w:hAnsi="游明朝"/>
        </w:rPr>
        <w:t xml:space="preserve">確認テストの結果、感染対策委員会が定める基準（別紙3）を満たした者は、当該テーマを「修了」したものとする。</w:t>
      </w:r>
    </w:p>
    <w:p>
      <w:pPr>
        <w:pStyle w:val="Heading1"/>
        <w:spacing w:after="120" w:before="240"/>
      </w:pPr>
      <w:r>
        <w:rPr>
          <w:rFonts w:ascii="游明朝" w:cs="游明朝" w:eastAsia="游明朝" w:hAnsi="游明朝"/>
          <w:b/>
          <w:bCs/>
        </w:rPr>
        <w:t xml:space="preserve">第4章　認定</w:t>
      </w:r>
    </w:p>
    <w:p>
      <w:pPr>
        <w:spacing w:after="80" w:before="200"/>
      </w:pPr>
      <w:r>
        <w:rPr>
          <w:rFonts w:ascii="游明朝" w:cs="游明朝" w:eastAsia="游明朝" w:hAnsi="游明朝"/>
          <w:b/>
          <w:bCs/>
        </w:rPr>
        <w:t xml:space="preserve">第11条（修了の記録）</w:t>
      </w:r>
    </w:p>
    <w:p>
      <w:pPr>
        <w:spacing w:after="100" w:line="300"/>
        <w:ind w:left="360"/>
      </w:pPr>
      <w:r>
        <w:rPr>
          <w:rFonts w:ascii="游明朝" w:cs="游明朝" w:eastAsia="游明朝" w:hAnsi="游明朝"/>
        </w:rPr>
        <w:t xml:space="preserve">ICTは、テーマごとの受講状況（ミニレクチャー出席又はeラーニング視聴）及び確認テストの結果を記録・管理する。</w:t>
      </w:r>
    </w:p>
    <w:p>
      <w:pPr>
        <w:spacing w:after="80" w:before="200"/>
      </w:pPr>
      <w:r>
        <w:rPr>
          <w:rFonts w:ascii="游明朝" w:cs="游明朝" w:eastAsia="游明朝" w:hAnsi="游明朝"/>
          <w:b/>
          <w:bCs/>
        </w:rPr>
        <w:t xml:space="preserve">第12条（年度認定）</w:t>
      </w:r>
    </w:p>
    <w:p>
      <w:pPr>
        <w:spacing w:after="100" w:line="300"/>
        <w:ind w:left="360"/>
      </w:pPr>
      <w:r>
        <w:rPr>
          <w:rFonts w:ascii="游明朝" w:cs="游明朝" w:eastAsia="游明朝" w:hAnsi="游明朝"/>
        </w:rPr>
        <w:t xml:space="preserve">感染対策委員会は、年度末に別紙3「認定基準（例）」に基づき、年間の受講状況及び確認テスト結果を確認し、基準を満たした者を「認定リンクナース」として認定する。</w:t>
      </w:r>
    </w:p>
    <w:p>
      <w:pPr>
        <w:spacing w:after="100" w:line="300"/>
        <w:ind w:left="360"/>
      </w:pPr>
      <w:r>
        <w:rPr>
          <w:rFonts w:ascii="游明朝" w:cs="游明朝" w:eastAsia="游明朝" w:hAnsi="游明朝"/>
        </w:rPr>
        <w:t xml:space="preserve">認定された者には、認定証を交付する。認定の有効期間は交付日の属する年度末までとし、翌年度以降も同様の基準により更新するものとする。</w:t>
      </w:r>
    </w:p>
    <w:p>
      <w:pPr>
        <w:spacing w:after="80" w:before="200"/>
      </w:pPr>
      <w:r>
        <w:rPr>
          <w:rFonts w:ascii="游明朝" w:cs="游明朝" w:eastAsia="游明朝" w:hAnsi="游明朝"/>
          <w:b/>
          <w:bCs/>
        </w:rPr>
        <w:t xml:space="preserve">第13条（認定の取消）</w:t>
      </w:r>
    </w:p>
    <w:p>
      <w:pPr>
        <w:spacing w:after="100" w:line="300"/>
        <w:ind w:left="360"/>
      </w:pPr>
      <w:r>
        <w:rPr>
          <w:rFonts w:ascii="游明朝" w:cs="游明朝" w:eastAsia="游明朝" w:hAnsi="游明朝"/>
        </w:rPr>
        <w:t xml:space="preserve">感染対策委員会は、認定リンクナースが次の各号のいずれかに該当すると認めるときは、認定を取り消すことができる。</w:t>
      </w:r>
    </w:p>
    <w:p>
      <w:pPr>
        <w:pStyle w:val="ListParagraph"/>
        <w:numPr>
          <w:ilvl w:val="0"/>
          <w:numId w:val="2"/>
        </w:numPr>
        <w:spacing w:after="60" w:line="300"/>
      </w:pPr>
      <w:r>
        <w:rPr>
          <w:rFonts w:ascii="游明朝" w:cs="游明朝" w:eastAsia="游明朝" w:hAnsi="游明朝"/>
        </w:rPr>
        <w:t xml:space="preserve">(1) 異動・退職等によりリンクナースとしての活動を継続できなくなったとき</w:t>
      </w:r>
    </w:p>
    <w:p>
      <w:pPr>
        <w:pStyle w:val="ListParagraph"/>
        <w:numPr>
          <w:ilvl w:val="0"/>
          <w:numId w:val="2"/>
        </w:numPr>
        <w:spacing w:after="60" w:line="300"/>
      </w:pPr>
      <w:r>
        <w:rPr>
          <w:rFonts w:ascii="游明朝" w:cs="游明朝" w:eastAsia="游明朝" w:hAnsi="游明朝"/>
        </w:rPr>
        <w:t xml:space="preserve">(2) 正当な理由なく年度の受講・確認テストを著しく怠ったとき</w:t>
      </w:r>
    </w:p>
    <w:p>
      <w:pPr>
        <w:pStyle w:val="ListParagraph"/>
        <w:numPr>
          <w:ilvl w:val="0"/>
          <w:numId w:val="2"/>
        </w:numPr>
        <w:spacing w:after="60" w:line="300"/>
      </w:pPr>
      <w:r>
        <w:rPr>
          <w:rFonts w:ascii="游明朝" w:cs="游明朝" w:eastAsia="游明朝" w:hAnsi="游明朝"/>
        </w:rPr>
        <w:t xml:space="preserve">(3) その他、本制度の目的に照らし認定を継続することが適当でないと感染対策委員会が判断したとき</w:t>
      </w:r>
    </w:p>
    <w:p>
      <w:pPr>
        <w:pStyle w:val="Heading1"/>
        <w:spacing w:after="120" w:before="240"/>
      </w:pPr>
      <w:r>
        <w:rPr>
          <w:rFonts w:ascii="游明朝" w:cs="游明朝" w:eastAsia="游明朝" w:hAnsi="游明朝"/>
          <w:b/>
          <w:bCs/>
        </w:rPr>
        <w:t xml:space="preserve">第5章　雑則</w:t>
      </w:r>
    </w:p>
    <w:p>
      <w:pPr>
        <w:spacing w:after="80" w:before="200"/>
      </w:pPr>
      <w:r>
        <w:rPr>
          <w:rFonts w:ascii="游明朝" w:cs="游明朝" w:eastAsia="游明朝" w:hAnsi="游明朝"/>
          <w:b/>
          <w:bCs/>
        </w:rPr>
        <w:t xml:space="preserve">第14条（改廃）</w:t>
      </w:r>
    </w:p>
    <w:p>
      <w:pPr>
        <w:spacing w:after="100" w:line="300"/>
        <w:ind w:left="360"/>
      </w:pPr>
      <w:r>
        <w:rPr>
          <w:rFonts w:ascii="游明朝" w:cs="游明朝" w:eastAsia="游明朝" w:hAnsi="游明朝"/>
        </w:rPr>
        <w:t xml:space="preserve">この規程の改廃は、感染対策委員会の審議を経て、[病院長／院内規程管理部門]の承認による。</w:t>
      </w:r>
    </w:p>
    <w:p>
      <w:pPr>
        <w:spacing w:before="300"/>
      </w:pPr>
      <w:r>
        <w:rPr>
          <w:rFonts w:ascii="游明朝" w:cs="游明朝" w:eastAsia="游明朝" w:hAnsi="游明朝"/>
          <w:b/>
          <w:bCs/>
        </w:rPr>
        <w:t xml:space="preserve">附則</w:t>
      </w:r>
    </w:p>
    <w:p>
      <w:pPr>
        <w:spacing w:after="120" w:line="300"/>
      </w:pPr>
      <w:r>
        <w:rPr>
          <w:rFonts w:ascii="游明朝" w:cs="游明朝" w:eastAsia="游明朝" w:hAnsi="游明朝"/>
        </w:rPr>
        <w:t xml:space="preserve">この規程は、20xx年xx月xx日から施行する。</w:t>
      </w:r>
    </w:p>
    <w:p>
      <w:r>
        <w:br w:type="page"/>
      </w:r>
    </w:p>
    <w:p>
      <w:pPr>
        <w:pStyle w:val="Heading1"/>
        <w:spacing w:after="120" w:before="240"/>
      </w:pPr>
      <w:r>
        <w:rPr>
          <w:rFonts w:ascii="游明朝" w:cs="游明朝" w:eastAsia="游明朝" w:hAnsi="游明朝"/>
          <w:b/>
          <w:bCs/>
        </w:rPr>
        <w:t xml:space="preserve">別紙2　年間教育計画（例）</w:t>
      </w:r>
    </w:p>
    <w:p>
      <w:pPr>
        <w:spacing w:after="120" w:line="300"/>
      </w:pPr>
      <w:r>
        <w:rPr>
          <w:rFonts w:ascii="游明朝" w:cs="游明朝" w:eastAsia="游明朝" w:hAnsi="游明朝"/>
        </w:rPr>
        <w:t xml:space="preserve">月次ミニレクチャー（15分）及びeラーニング教材のテーマ案。感染対策委員会が院内のサーベイランス結果・季節性等を踏まえて毎年度見直す。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06"/>
      </w:tblGrid>
      <w:tr>
        <w:trPr>
          <w:tblHeader/>
        </w:trPr>
        <w:tc>
          <w:tcPr>
            <w:tcW w:type="dxa" w:w="900"/>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月</w:t>
            </w:r>
          </w:p>
        </w:tc>
        <w:tc>
          <w:tcPr>
            <w:tcW w:type="dxa" w:w="3600"/>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ミニレクチャー／eラーニングテーマ</w:t>
            </w:r>
          </w:p>
        </w:tc>
        <w:tc>
          <w:tcPr>
            <w:tcW w:type="dxa" w:w="4806"/>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備考</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4月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標準予防策の基本</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新年度メンバーの基礎確認を兼ねる</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5月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手指衛生（5つのタイミング）</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実技の相互チェックを含める</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6月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個人防護具（PPE）の選択と着脱</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実技の相互チェックを含める</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7月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接触予防策</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事例をもとにした具体的な運用</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8月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飛沫予防策・空気予防策</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季節性感染症への備え</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9月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医療関連感染サーベイランスの基礎</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自部署のデータの見方</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10月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職業感染防止（針刺し・体液曝露対応）</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発生時の初期対応手順の確認</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11月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環境整備・消毒滅菌の基礎</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12月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抗菌薬適正使用の基礎</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1月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アウトブレイク対応の基礎</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インフルエンザ・感染性胃腸炎シーズン</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2月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院内事例の振り返り（事例検討）</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匿名化した院内事例を活用</w:t>
            </w:r>
          </w:p>
        </w:tc>
      </w:tr>
      <w:tr>
        <w:tc>
          <w:tcPr>
            <w:tcW w:type="dxa" w:w="9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3月</w:t>
            </w:r>
          </w:p>
        </w:tc>
        <w:tc>
          <w:tcPr>
            <w:tcW w:type="dxa" w:w="3600"/>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年間総合確認テスト・振り返り</w:t>
            </w:r>
          </w:p>
        </w:tc>
        <w:tc>
          <w:tcPr>
            <w:tcW w:type="dxa" w:w="48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年度認定の判定材料とする</w:t>
            </w:r>
          </w:p>
        </w:tc>
      </w:tr>
    </w:tbl>
    <w:p>
      <w:pPr>
        <w:spacing w:after="120" w:line="300"/>
      </w:pPr>
      <w:r>
        <w:rPr>
          <w:rFonts w:ascii="游明朝" w:cs="游明朝" w:eastAsia="游明朝" w:hAnsi="游明朝"/>
        </w:rPr>
        <w:t xml:space="preserve"/>
      </w:r>
    </w:p>
    <w:tbl>
      <w:tblPr>
        <w:tblW w:type="dxa" w:w="9638"/>
        <w:tblBorders>
          <w:top w:val="single" w:color="999999" w:sz="6"/>
          <w:left w:val="single" w:color="999999" w:sz="6"/>
          <w:bottom w:val="single" w:color="999999" w:sz="6"/>
          <w:right w:val="single" w:color="999999" w:sz="6"/>
          <w:insideH w:val="none" w:color="FFFFFF" w:sz="0"/>
          <w:insideV w:val="none" w:color="FFFFFF" w:sz="0"/>
        </w:tblBorders>
      </w:tblPr>
      <w:tblGrid>
        <w:gridCol w:w="9638"/>
      </w:tblGrid>
      <w:tr>
        <w:tc>
          <w:tcPr>
            <w:tcW w:type="dxa" w:w="9638"/>
            <w:shd w:fill="F2F2F2" w:val="clear"/>
            <w:tcMar>
              <w:top w:type="dxa" w:w="120"/>
              <w:left w:type="dxa" w:w="160"/>
              <w:bottom w:type="dxa" w:w="120"/>
              <w:right w:type="dxa" w:w="160"/>
            </w:tcMar>
          </w:tcPr>
          <w:p>
            <w:pPr>
              <w:spacing w:after="0" w:line="280"/>
            </w:pPr>
            <w:r>
              <w:rPr>
                <w:rFonts w:ascii="游明朝" w:cs="游明朝" w:eastAsia="游明朝" w:hAnsi="游明朝"/>
                <w:sz w:val="20"/>
                <w:szCs w:val="20"/>
              </w:rPr>
              <w:t xml:space="preserve">※ テーマ・実施月は例です。院内の課題（アウトブレイク事例、監査結果等）に応じて入れ替えてください。</w:t>
            </w:r>
          </w:p>
        </w:tc>
      </w:tr>
    </w:tbl>
    <w:p>
      <w:r>
        <w:br w:type="page"/>
      </w:r>
    </w:p>
    <w:p>
      <w:pPr>
        <w:pStyle w:val="Heading1"/>
        <w:spacing w:after="120" w:before="240"/>
      </w:pPr>
      <w:r>
        <w:rPr>
          <w:rFonts w:ascii="游明朝" w:cs="游明朝" w:eastAsia="游明朝" w:hAnsi="游明朝"/>
          <w:b/>
          <w:bCs/>
        </w:rPr>
        <w:t xml:space="preserve">別紙3　認定基準（例）</w:t>
      </w:r>
    </w:p>
    <w:p>
      <w:pPr>
        <w:spacing w:after="120" w:line="300"/>
      </w:pPr>
      <w:r>
        <w:rPr>
          <w:rFonts w:ascii="游明朝" w:cs="游明朝" w:eastAsia="游明朝" w:hAnsi="游明朝"/>
        </w:rPr>
        <w:t xml:space="preserve">以下は「修了」及び「認定リンクナース」の判定基準の設計例です。院内の実情に合わせて感染対策委員会が確定してください。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00"/>
        <w:gridCol w:w="6106"/>
      </w:tblGrid>
      <w:tr>
        <w:trPr>
          <w:tblHeader/>
        </w:trPr>
        <w:tc>
          <w:tcPr>
            <w:tcW w:type="dxa" w:w="3200"/>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項目</w:t>
            </w:r>
          </w:p>
        </w:tc>
        <w:tc>
          <w:tcPr>
            <w:tcW w:type="dxa" w:w="6106"/>
            <w:shd w:fill="D9D9D9" w:val="clear"/>
            <w:tcMar>
              <w:top w:type="dxa" w:w="80"/>
              <w:left w:type="dxa" w:w="100"/>
              <w:bottom w:type="dxa" w:w="80"/>
              <w:right w:type="dxa" w:w="100"/>
            </w:tcMar>
          </w:tcPr>
          <w:p>
            <w:pPr>
              <w:jc w:val="center"/>
            </w:pPr>
            <w:r>
              <w:rPr>
                <w:rFonts w:ascii="游明朝" w:cs="游明朝" w:eastAsia="游明朝" w:hAnsi="游明朝"/>
                <w:b/>
                <w:bCs/>
                <w:sz w:val="19"/>
                <w:szCs w:val="19"/>
              </w:rPr>
              <w:t xml:space="preserve">基準（例）</w:t>
            </w:r>
          </w:p>
        </w:tc>
      </w:tr>
      <w:tr>
        <w:tc>
          <w:tcPr>
            <w:tcW w:type="dxa" w:w="3200"/>
            <w:shd w:fill="F2F2F2" w:val="clear"/>
            <w:tcMar>
              <w:top w:type="dxa" w:w="80"/>
              <w:left w:type="dxa" w:w="100"/>
              <w:bottom w:type="dxa" w:w="80"/>
              <w:right w:type="dxa" w:w="100"/>
            </w:tcMar>
          </w:tcPr>
          <w:p>
            <w:pPr>
              <w:jc w:val="left"/>
            </w:pPr>
            <w:r>
              <w:rPr>
                <w:rFonts w:ascii="游明朝" w:cs="游明朝" w:eastAsia="游明朝" w:hAnsi="游明朝"/>
                <w:b/>
                <w:bCs/>
                <w:sz w:val="19"/>
                <w:szCs w:val="19"/>
              </w:rPr>
              <w:t xml:space="preserve">各回の「修了」基準</w:t>
            </w:r>
          </w:p>
        </w:tc>
        <w:tc>
          <w:tcPr>
            <w:tcW w:type="dxa" w:w="61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月次ミニレクチャー出席又はeラーニング視聴　＋　確認テスト正答率70％以上</w:t>
            </w:r>
          </w:p>
        </w:tc>
      </w:tr>
      <w:tr>
        <w:tc>
          <w:tcPr>
            <w:tcW w:type="dxa" w:w="3200"/>
            <w:shd w:fill="F2F2F2" w:val="clear"/>
            <w:tcMar>
              <w:top w:type="dxa" w:w="80"/>
              <w:left w:type="dxa" w:w="100"/>
              <w:bottom w:type="dxa" w:w="80"/>
              <w:right w:type="dxa" w:w="100"/>
            </w:tcMar>
          </w:tcPr>
          <w:p>
            <w:pPr>
              <w:jc w:val="left"/>
            </w:pPr>
            <w:r>
              <w:rPr>
                <w:rFonts w:ascii="游明朝" w:cs="游明朝" w:eastAsia="游明朝" w:hAnsi="游明朝"/>
                <w:b/>
                <w:bCs/>
                <w:sz w:val="19"/>
                <w:szCs w:val="19"/>
              </w:rPr>
              <w:t xml:space="preserve">年間「認定」基準（出席・視聴）</w:t>
            </w:r>
          </w:p>
        </w:tc>
        <w:tc>
          <w:tcPr>
            <w:tcW w:type="dxa" w:w="61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年間実施回数（12回）のうち80％以上（10回以上）の修了</w:t>
            </w:r>
          </w:p>
        </w:tc>
      </w:tr>
      <w:tr>
        <w:tc>
          <w:tcPr>
            <w:tcW w:type="dxa" w:w="3200"/>
            <w:shd w:fill="F2F2F2" w:val="clear"/>
            <w:tcMar>
              <w:top w:type="dxa" w:w="80"/>
              <w:left w:type="dxa" w:w="100"/>
              <w:bottom w:type="dxa" w:w="80"/>
              <w:right w:type="dxa" w:w="100"/>
            </w:tcMar>
          </w:tcPr>
          <w:p>
            <w:pPr>
              <w:jc w:val="left"/>
            </w:pPr>
            <w:r>
              <w:rPr>
                <w:rFonts w:ascii="游明朝" w:cs="游明朝" w:eastAsia="游明朝" w:hAnsi="游明朝"/>
                <w:b/>
                <w:bCs/>
                <w:sz w:val="19"/>
                <w:szCs w:val="19"/>
              </w:rPr>
              <w:t xml:space="preserve">年間「認定」基準（テスト）</w:t>
            </w:r>
          </w:p>
        </w:tc>
        <w:tc>
          <w:tcPr>
            <w:tcW w:type="dxa" w:w="61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各回確認テストの平均正答率70％以上　かつ　3月の年間総合確認テスト70％以上</w:t>
            </w:r>
          </w:p>
        </w:tc>
      </w:tr>
      <w:tr>
        <w:tc>
          <w:tcPr>
            <w:tcW w:type="dxa" w:w="3200"/>
            <w:shd w:fill="F2F2F2" w:val="clear"/>
            <w:tcMar>
              <w:top w:type="dxa" w:w="80"/>
              <w:left w:type="dxa" w:w="100"/>
              <w:bottom w:type="dxa" w:w="80"/>
              <w:right w:type="dxa" w:w="100"/>
            </w:tcMar>
          </w:tcPr>
          <w:p>
            <w:pPr>
              <w:jc w:val="left"/>
            </w:pPr>
            <w:r>
              <w:rPr>
                <w:rFonts w:ascii="游明朝" w:cs="游明朝" w:eastAsia="游明朝" w:hAnsi="游明朝"/>
                <w:b/>
                <w:bCs/>
                <w:sz w:val="19"/>
                <w:szCs w:val="19"/>
              </w:rPr>
              <w:t xml:space="preserve">未達の場合の扱い</w:t>
            </w:r>
          </w:p>
        </w:tc>
        <w:tc>
          <w:tcPr>
            <w:tcW w:type="dxa" w:w="6106"/>
            <w:tcMar>
              <w:top w:type="dxa" w:w="80"/>
              <w:left w:type="dxa" w:w="100"/>
              <w:bottom w:type="dxa" w:w="80"/>
              <w:right w:type="dxa" w:w="100"/>
            </w:tcMar>
          </w:tcPr>
          <w:p>
            <w:pPr>
              <w:jc w:val="left"/>
            </w:pPr>
            <w:r>
              <w:rPr>
                <w:rFonts w:ascii="游明朝" w:cs="游明朝" w:eastAsia="游明朝" w:hAnsi="游明朝"/>
                <w:b w:val="false"/>
                <w:bCs w:val="false"/>
                <w:sz w:val="19"/>
                <w:szCs w:val="19"/>
              </w:rPr>
              <w:t xml:space="preserve">感染対策委員会が個別に補講・再テストの機会を設けることができる</w:t>
            </w:r>
          </w:p>
        </w:tc>
      </w:tr>
    </w:tbl>
    <w:p>
      <w:pPr>
        <w:spacing w:after="120" w:line="300"/>
      </w:pPr>
      <w:r>
        <w:rPr>
          <w:rFonts w:ascii="游明朝" w:cs="游明朝" w:eastAsia="游明朝" w:hAnsi="游明朝"/>
        </w:rPr>
        <w:t xml:space="preserve"/>
      </w:r>
    </w:p>
    <w:tbl>
      <w:tblPr>
        <w:tblW w:type="dxa" w:w="9638"/>
        <w:tblBorders>
          <w:top w:val="single" w:color="999999" w:sz="6"/>
          <w:left w:val="single" w:color="999999" w:sz="6"/>
          <w:bottom w:val="single" w:color="999999" w:sz="6"/>
          <w:right w:val="single" w:color="999999" w:sz="6"/>
          <w:insideH w:val="none" w:color="FFFFFF" w:sz="0"/>
          <w:insideV w:val="none" w:color="FFFFFF" w:sz="0"/>
        </w:tblBorders>
      </w:tblPr>
      <w:tblGrid>
        <w:gridCol w:w="9638"/>
      </w:tblGrid>
      <w:tr>
        <w:tc>
          <w:tcPr>
            <w:tcW w:type="dxa" w:w="9638"/>
            <w:shd w:fill="F2F2F2" w:val="clear"/>
            <w:tcMar>
              <w:top w:type="dxa" w:w="120"/>
              <w:left w:type="dxa" w:w="160"/>
              <w:bottom w:type="dxa" w:w="120"/>
              <w:right w:type="dxa" w:w="160"/>
            </w:tcMar>
          </w:tcPr>
          <w:p>
            <w:pPr>
              <w:spacing w:after="60" w:line="280"/>
            </w:pPr>
            <w:r>
              <w:rPr>
                <w:rFonts w:ascii="游明朝" w:cs="游明朝" w:eastAsia="游明朝" w:hAnsi="游明朝"/>
                <w:sz w:val="20"/>
                <w:szCs w:val="20"/>
              </w:rPr>
              <w:t xml:space="preserve">※ 基準値（参加率・正答率等）は、法令等で定められた統一基準ではなく、当院で運用しながら見直すことを前提とした設計例です。</w:t>
            </w:r>
          </w:p>
          <w:p>
            <w:pPr>
              <w:spacing w:after="0" w:line="280"/>
            </w:pPr>
            <w:r>
              <w:rPr>
                <w:rFonts w:ascii="游明朝" w:cs="游明朝" w:eastAsia="游明朝" w:hAnsi="游明朝"/>
                <w:sz w:val="20"/>
                <w:szCs w:val="20"/>
              </w:rPr>
              <w:t xml:space="preserve">※ 「修了」はテーマ単位、「認定」は年間累積の判定という2段階構成を想定しています。</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2026-09-10T23:45:57.391Z</dcterms:created>
  <dcterms:modified xsi:type="dcterms:W3CDTF">2026-09-10T23:45:57.410Z</dcterms:modified>
</cp:coreProperties>
</file>

<file path=docProps/custom.xml><?xml version="1.0" encoding="utf-8"?>
<Properties xmlns="http://schemas.openxmlformats.org/officeDocument/2006/custom-properties" xmlns:vt="http://schemas.openxmlformats.org/officeDocument/2006/docPropsVTypes"/>
</file>