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0"/>
          <w:szCs w:val="40"/>
        </w:rPr>
        <w:t xml:space="preserve">The Ottoman Printing Press That Worked, and Still Died With One Man</w:t>
      </w:r>
    </w:p>
    <w:p>
      <w:pPr>
        <w:pBdr>
          <w:bottom w:val="single" w:color="1F3A5F" w:sz="8" w:space="8"/>
        </w:pBdr>
        <w:spacing w:after="40"/>
      </w:pPr>
      <w:r>
        <w:rPr>
          <w:caps/>
          <w:color w:val="5A5A5A"/>
          <w:sz w:val="20"/>
          <w:szCs w:val="20"/>
        </w:rPr>
        <w:t xml:space="preserve">Learnings from History  •  July 23, 2026</w:t>
      </w:r>
    </w:p>
    <w:p>
      <w:pPr>
        <w:spacing w:after="160"/>
      </w:pPr>
    </w:p>
    <w:p>
      <w:pPr>
        <w:spacing w:after="200" w:line="300"/>
      </w:pPr>
      <w:r>
        <w:t>The briefing’s episode upends a familiar cliché. For a long time, people told a simple tale: the Ottomans banned printing for religious reasons, fell behind Europe, and relented only in 1727. What actually happened is stranger and more useful. The Ottomans built a printing press in Istanbul, it worked, and the books sold. It still fizzled out, and not because anyone shut it down. The whole operation lived inside one remarkable man’s head.</w:t>
      </w:r>
    </w:p>
    <w:p>
      <w:pPr>
        <w:spacing w:after="200" w:line="300"/>
      </w:pPr>
      <w:r>
        <w:t>The press belonged to Ibrahim Muteferrika, a Transylvanian-born convert to Islam who became a court servant, diplomat, and scholar. In 1727 he won permission from Sultan Ahmed III to print books in Turkish using Arabic type. His first book, a hefty two-volume Arabic-Turkish dictionary, appeared in 1729. Over the next thirteen years the press turned out histories, geographies, dictionaries, and maps, roughly ten thousand copies in total, before publication stopped in 1742, five years before Muteferrika died. The reason it stopped is the useful part, because the failure it reveals is everywhere in modern life.</w:t>
      </w:r>
    </w:p>
    <w:p>
      <w:pPr>
        <w:spacing w:after="220"/>
        <w:ind w:left="360"/>
      </w:pPr>
      <w:r>
        <w:rPr>
          <w:i/>
          <w:iCs/>
          <w:color w:val="5A5A5A"/>
          <w:sz w:val="18"/>
          <w:szCs w:val="18"/>
        </w:rPr>
        <w:t xml:space="preserve">Source: Britannica, “İbrahim Müteferrika”; the 1727 firman and 1729 dictionary are confirmed across standard accounts.</w:t>
      </w:r>
    </w:p>
    <w:p>
      <w:pPr>
        <w:pStyle w:val="Heading1"/>
        <w:spacing w:after="140" w:before="320"/>
      </w:pPr>
      <w:r>
        <w:rPr>
          <w:b/>
          <w:bCs/>
          <w:color w:val="1F3A5F"/>
          <w:sz w:val="30"/>
          <w:szCs w:val="30"/>
        </w:rPr>
        <w:t>Printing and manuscripts in Istanbul before 1727</w:t>
      </w:r>
    </w:p>
    <w:p>
      <w:pPr>
        <w:spacing w:after="200" w:line="300"/>
      </w:pPr>
      <w:r>
        <w:t>Printing was not exotic in Istanbul. Jewish printers had produced Hebrew books in Ottoman lands since the late fifteenth century, and Armenian and Greek presses followed. When the historian Kathryn Schwartz went looking for the supposed sultanic bans on printing, she found no surviving documentary evidence for them. A 1588 decree actually protected European merchants importing Arabic printed books. The question, then, was never “why did a civilization reject a machine?” It is quieter and more interesting: why printing in Arabic script, run by Muslims, stayed marginal when everyone around them was already printing.</w:t>
      </w:r>
    </w:p>
    <w:p>
      <w:pPr>
        <w:spacing w:after="220"/>
        <w:ind w:left="360"/>
      </w:pPr>
      <w:r>
        <w:rPr>
          <w:i/>
          <w:iCs/>
          <w:color w:val="5A5A5A"/>
          <w:sz w:val="18"/>
          <w:szCs w:val="18"/>
        </w:rPr>
        <w:t xml:space="preserve">Source: Kathryn A. Schwartz, “Did Ottoman Sultans Ban Print?”, Book History 20 (2017).</w:t>
      </w:r>
    </w:p>
    <w:p>
      <w:pPr>
        <w:spacing w:after="200" w:line="300"/>
      </w:pPr>
      <w:r>
        <w:t>The answer is that the Ottomans already had a good system for making Arabic-script books, and it was made of people: copyists, calligraphers, paper suppliers, booksellers, and teachers, all working together. A handwritten book could be accurate, beautiful, and made to order. Most important, it was economically sensible when only a few dozen people wanted a given title. Printing pays when you sell thousands of identical copies. When demand for any single book is small, the huge upfront cost of type, paper, skilled labor, and editing is hard to recover. The manuscript trade was a mature system that fit the actual demand, not a sign of backwardness.</w:t>
      </w:r>
    </w:p>
    <w:p>
      <w:pPr>
        <w:pStyle w:val="Heading1"/>
        <w:spacing w:after="140" w:before="320"/>
      </w:pPr>
      <w:r>
        <w:rPr>
          <w:b/>
          <w:bCs/>
          <w:color w:val="1F3A5F"/>
          <w:sz w:val="30"/>
          <w:szCs w:val="30"/>
        </w:rPr>
        <w:t>How Muteferrika won permission</w:t>
      </w:r>
    </w:p>
    <w:p>
      <w:pPr>
        <w:spacing w:after="200" w:line="300"/>
      </w:pPr>
      <w:r>
        <w:t>Muteferrika’s genius lay in politics rather than mechanics. Anyone could see how movable type worked. The hard part was assembling permission to use it, and in this setting permission meant lining up several powerful groups at once. Muteferrika partnered with Said Efendi, whose experience on an Ottoman embassy to France opened doors at court. In 1726 Muteferrika wrote a short treatise arguing that printing would preserve books from fire and war, cut copying errors, lower prices, and strengthen the state. In 1727 the sultan issued a firman granting permission, and the empire’s chief jurist supplied a favorable legal opinion. The permission came with conditions. The press could print only nonreligious works, and learned proofreaders would guard accuracy. Religious and legal books, the biggest and most reliable part of the manuscript market, were off-limits.</w:t>
      </w:r>
    </w:p>
    <w:p>
      <w:pPr>
        <w:spacing w:after="200" w:line="300"/>
      </w:pPr>
      <w:r>
        <w:t>Muteferrika then made a clever move. He printed the firman, the legal opinion, his own argument, and endorsements from senior scholars in the front pages of his first book. In effect, that front matter was governance infrastructure, portable and visible proof to buyers, officials, and any would-be critic that the establishment stood behind the venture. Every copy carried his legitimacy with it.</w:t>
      </w:r>
    </w:p>
    <w:p>
      <w:pPr>
        <w:spacing w:after="220"/>
        <w:ind w:left="360"/>
      </w:pPr>
      <w:r>
        <w:rPr>
          <w:i/>
          <w:iCs/>
          <w:color w:val="5A5A5A"/>
          <w:sz w:val="18"/>
          <w:szCs w:val="18"/>
        </w:rPr>
        <w:t xml:space="preserve">Source: Schwartz, “Did Ottoman Sultans Ban Print?”, pp. 7–11.</w:t>
      </w:r>
    </w:p>
    <w:p>
      <w:pPr>
        <w:pStyle w:val="Heading1"/>
        <w:spacing w:after="140" w:before="320"/>
      </w:pPr>
      <w:r>
        <w:rPr>
          <w:b/>
          <w:bCs/>
          <w:color w:val="1F3A5F"/>
          <w:sz w:val="30"/>
          <w:szCs w:val="30"/>
        </w:rPr>
        <w:t>The 1730 rebellion and the press’s sales</w:t>
      </w:r>
    </w:p>
    <w:p>
      <w:pPr>
        <w:spacing w:after="200" w:line="300"/>
      </w:pPr>
      <w:r>
        <w:t>The press also survived a regime change, which keeps this from being a simple morality tale. In 1730, a rebellion led by Patrona Halil toppled Ahmed III and killed the grand vizier. That is the kind of shock that kills court-sponsored projects, and you would expect the press to die with its patrons. Instead, the new sultan, Mahmud I, renewed permission, several scholars who had backed the press kept their high offices, and after a pause printing resumed. Because Muteferrika had spread his support across many powerful people instead of betting on one patron, the enterprise survived a regime change that destroyed other initiatives. Spreading legitimacy that widely was a genuine achievement. It is also why the “they banned it” story falls apart, since the press outlived the very court that authorized it.</w:t>
      </w:r>
    </w:p>
    <w:p>
      <w:pPr>
        <w:spacing w:after="220"/>
        <w:ind w:left="360"/>
      </w:pPr>
      <w:r>
        <w:rPr>
          <w:i/>
          <w:iCs/>
          <w:color w:val="5A5A5A"/>
          <w:sz w:val="18"/>
          <w:szCs w:val="18"/>
        </w:rPr>
        <w:t xml:space="preserve">Source: Radu Dipratu, “Blessings of the Printed Work” (De Gruyter, open access).</w:t>
      </w:r>
    </w:p>
    <w:p>
      <w:pPr>
        <w:spacing w:after="200" w:line="300"/>
      </w:pPr>
      <w:r>
        <w:t>Nor was it a commercial flop. Muteferrika’s 1747 estate inventory shows unsold stock, and printed books were expensive and distribution was thin. But the historian Orlin Sabev’s reconstruction of the print runs concludes that roughly 70 percent of the books had sold. For a brand-new, capital-heavy medium with slow turnover, that is a viable specialist business, and it does not show readers rejecting the press. The press had legitimacy, a working machine, and customers. On paper, it should have kept going.</w:t>
      </w:r>
    </w:p>
    <w:p>
      <w:pPr>
        <w:spacing w:after="220"/>
        <w:ind w:left="360"/>
      </w:pPr>
      <w:r>
        <w:rPr>
          <w:i/>
          <w:iCs/>
          <w:color w:val="5A5A5A"/>
          <w:sz w:val="18"/>
          <w:szCs w:val="18"/>
        </w:rPr>
        <w:t xml:space="preserve">Source: Orlin Sabev, “The First Ottoman Turkish Printing Enterprise: Success or Failure?”, pp. 299–309.</w:t>
      </w:r>
    </w:p>
    <w:p>
      <w:pPr>
        <w:pStyle w:val="Heading1"/>
        <w:spacing w:after="140" w:before="320"/>
      </w:pPr>
      <w:r>
        <w:rPr>
          <w:b/>
          <w:bCs/>
          <w:color w:val="1F3A5F"/>
          <w:sz w:val="30"/>
          <w:szCs w:val="30"/>
        </w:rPr>
        <w:t>Why the press stopped</w:t>
      </w:r>
    </w:p>
    <w:p>
      <w:pPr>
        <w:spacing w:after="200" w:line="300"/>
      </w:pPr>
      <w:r>
        <w:t>The press stopped because everything that made it work ran through one man. Said Efendi left the partnership, and the foreign workers fled during the 1730 unrest. Muteferrika carried on with five local employees while also serving on diplomatic missions. Choosing which books to print, editing them, negotiating with officials, financing the runs, and selling the output all stayed with him. The press could produce a book, but it could not produce new printers, new investors, new booksellers, or a self-sustaining stream of new titles. Publication ceased after 1742. There was one reprint in the 1750s and only scattered revivals later, and large-scale Ottoman printing in Arabic script arrived only in the nineteenth century.</w:t>
      </w:r>
    </w:p>
    <w:p>
      <w:pPr>
        <w:spacing w:after="200" w:line="300"/>
      </w:pPr>
      <w:r>
        <w:t>The useful term here is dependency migration, a clunky name for a plain idea. Early on, the hard question is “can this even be done?” Once a pioneer proves it can, the bottleneck quietly moves, and the new hard question becomes “can all the supporting roles reproduce themselves without this one person?” Muteferrika answered the first question brilliantly and never got to answer the second. His press did leave something behind: trained workers, cast type, a legal precedent, and new maps and reference works that later state presses drew on. But precedent piled up faster than organization did.</w:t>
      </w:r>
    </w:p>
    <w:p>
      <w:pPr>
        <w:spacing w:after="220"/>
        <w:ind w:left="360"/>
      </w:pPr>
      <w:r>
        <w:rPr>
          <w:i/>
          <w:iCs/>
          <w:color w:val="5A5A5A"/>
          <w:sz w:val="18"/>
          <w:szCs w:val="18"/>
        </w:rPr>
        <w:t xml:space="preserve">Source: Ami Ayalon, The Arabic Print Revolution, introduction (Cambridge University Press).</w:t>
      </w:r>
    </w:p>
    <w:p>
      <w:pPr>
        <w:pStyle w:val="Heading1"/>
        <w:spacing w:after="140" w:before="320"/>
      </w:pPr>
      <w:r>
        <w:rPr>
          <w:b/>
          <w:bCs/>
          <w:color w:val="1F3A5F"/>
          <w:sz w:val="30"/>
          <w:szCs w:val="30"/>
        </w:rPr>
        <w:t>A rival explanation</w:t>
      </w:r>
    </w:p>
    <w:p>
      <w:pPr>
        <w:spacing w:after="200" w:line="300"/>
      </w:pPr>
      <w:r>
        <w:t>There is a serious rival explanation, and it deserves a fair hearing. The economists Coşgel, Miceli, and Rubin argue that Ottoman rulers kept mass printing narrow on purpose, because cheap books could weaken the religious authorities whose backing helped legitimize the state. They add that low literacy and income meant weak demand anyway. That view explains why permission was so restricted and why real takeoff waited for broader political change. It is a useful corrective against pinning a century-long pattern on one man’s death.</w:t>
      </w:r>
    </w:p>
    <w:p>
      <w:pPr>
        <w:spacing w:after="220"/>
        <w:ind w:left="360"/>
      </w:pPr>
      <w:r>
        <w:rPr>
          <w:i/>
          <w:iCs/>
          <w:color w:val="5A5A5A"/>
          <w:sz w:val="18"/>
          <w:szCs w:val="18"/>
        </w:rPr>
        <w:t xml:space="preserve">Source: Metin M. Coşgel, Thomas J. Miceli, and Jared Rubin, “The Political Economy of Mass Printing.”</w:t>
      </w:r>
    </w:p>
    <w:p>
      <w:pPr>
        <w:spacing w:after="200" w:line="300"/>
      </w:pPr>
      <w:r>
        <w:t>The two accounts are compatible. The political-economy account explains why the ceiling on printing was low, and the succession account explains why even the modest space that existed wasn’t filled continuously. Public scholarly endorsement, survival of the 1730 rebellion, substantial sales, and the absence of any documented blanket ban make a purely “they suppressed it” story hard to sustain. A trained successor with capital and wider distribution might well have kept output going. By itself, though, that would not have created a European-scale reading public. That larger transformation needed changes in literacy, wealth, and politics that no single workshop could supply.</w:t>
      </w:r>
    </w:p>
    <w:p>
      <w:pPr>
        <w:pStyle w:val="Heading1"/>
        <w:spacing w:after="140" w:before="320"/>
      </w:pPr>
      <w:r>
        <w:rPr>
          <w:b/>
          <w:bCs/>
          <w:color w:val="1F3A5F"/>
          <w:sz w:val="30"/>
          <w:szCs w:val="30"/>
        </w:rPr>
        <w:t xml:space="preserve">Takeaways</w:t>
      </w:r>
    </w:p>
    <w:p>
      <w:pPr>
        <w:spacing w:after="200" w:line="300"/>
      </w:pPr>
      <w:r>
        <w:rPr>
          <w:b/>
          <w:bCs/>
        </w:rPr>
        <w:t>Why this matters:</w:t>
      </w:r>
      <w:r>
        <w:t xml:space="preserve"> Proving that something works is different from building what keeps it working. A gifted founder can temporarily hold technical skill, political cover, quality control, money, and customer trust in one pair of hands, and that makes a pilot look far healthier than the system beneath it. Asking “did the first release succeed?” does not test real adoption. The test is “can a second team ship a second release from ordinary resources, without the founder personally brokering every handoff?”</w:t>
      </w:r>
    </w:p>
    <w:p>
      <w:pPr>
        <w:spacing w:after="200" w:line="300"/>
      </w:pPr>
      <w:r>
        <w:rPr>
          <w:b/>
          <w:bCs/>
        </w:rPr>
        <w:t>What this means today:</w:t>
      </w:r>
      <w:r>
        <w:t xml:space="preserve"> The pattern shows up everywhere: the star engineer whose project stalls when she leaves, the pilot program that dazzles in one hospital and dies when it’s meant to scale, the reform that depends entirely on one committed official. Whenever a capability is concentrated in a person, treat “it worked once” as the beginning of the question rather than the answer. Then ask who selects the next use case, who funds the next cycle, and who trains the next operator.</w:t>
      </w:r>
    </w:p>
    <w:p>
      <w:pPr>
        <w:spacing w:after="200" w:line="300"/>
      </w:pPr>
      <w:r>
        <w:rPr>
          <w:b/>
          <w:bCs/>
        </w:rPr>
        <w:t>Where the lesson runs out:</w:t>
      </w:r>
      <w:r>
        <w:t xml:space="preserve"> Don’t stretch this into “every innovation must scale immediately.” The lesson fits when capability is concentrated in one person, upfront costs are high, repeat demand is uncertain, and legitimacy depends on gatekeepers. It misleads when a pilot is meant to be temporary, when wider spread would do real harm, or when decentralized alternatives such as the Ottoman manuscript trade serve people better than a standardized system would.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Ottoman Printing Press That Worked, and Still Died With One Man</dc:title>
  <dc:creator>Learnings from History</dc:creator>
  <cp:lastModifiedBy>Un-named</cp:lastModifiedBy>
  <cp:revision>1</cp:revision>
  <dcterms:created xsi:type="dcterms:W3CDTF">2026-07-23T23:09:16.475Z</dcterms:created>
  <dcterms:modified xsi:type="dcterms:W3CDTF">2026-07-23T23:09:16.475Z</dcterms:modified>
</cp:coreProperties>
</file>

<file path=docProps/custom.xml><?xml version="1.0" encoding="utf-8"?>
<Properties xmlns="http://schemas.openxmlformats.org/officeDocument/2006/custom-properties" xmlns:vt="http://schemas.openxmlformats.org/officeDocument/2006/docPropsVTypes"/>
</file>