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sz w:val="40"/>
          <w:szCs w:val="40"/>
        </w:rPr>
        <w:t xml:space="preserve">The Emergency Made Skipping the Test Look Like the Responsible Choice</w:t>
      </w:r>
    </w:p>
    <w:p>
      <w:pPr>
        <w:spacing w:after="360"/>
      </w:pPr>
      <w:r>
        <w:rPr>
          <w:rFonts w:ascii="Georgia" w:cs="Georgia" w:eastAsia="Georgia" w:hAnsi="Georgia"/>
          <w:i/>
          <w:iCs/>
          <w:color w:val="555555"/>
          <w:sz w:val="22"/>
          <w:szCs w:val="22"/>
        </w:rPr>
        <w:t xml:space="preserve">Britain’s Tanganyika Groundnut Scheme, 1946–1951</w:t>
      </w:r>
    </w:p>
    <w:p>
      <w:pPr>
        <w:spacing w:after="200" w:line="300"/>
      </w:pPr>
      <w:r>
        <w:rPr>
          <w:rFonts w:ascii="Georgia" w:cs="Georgia" w:eastAsia="Georgia" w:hAnsi="Georgia"/>
          <w:sz w:val="23"/>
          <w:szCs w:val="23"/>
        </w:rPr>
        <w:t>In January 1947, the British Cabinet approved a plan to grow peanuts across 3.21 million acres of Tanganyika, an area roughly the size of Connecticut, to relieve a genuine national shortage of cooking fats. Experienced people drew up the plan, experts endorsed it, and it was costed at £24 million. Four years later Britain wrote off nearly £36 million, having cleared less than seven percent of the land, and the scheme had produced fewer peanuts than were imported into East Africa as seed. The farce is the less instructive part of the story. The planners skipped a small trial on purpose, and at the time their argument for doing so was persuasive.</w:t>
      </w:r>
    </w:p>
    <w:p>
      <w:pPr>
        <w:spacing w:after="240"/>
      </w:pPr>
      <w:r>
        <w:rPr>
          <w:rFonts w:ascii="Georgia" w:cs="Georgia" w:eastAsia="Georgia" w:hAnsi="Georgia"/>
          <w:i/>
          <w:iCs/>
          <w:color w:val="777777"/>
          <w:sz w:val="18"/>
          <w:szCs w:val="18"/>
        </w:rPr>
        <w:t xml:space="preserve">Cmd. 7030, “A Plan for the Mechanised Production of Groundnuts in East and Central Africa” (HMSO, 1947); Staffan Esselborn, “Environment, Memory, and the Groundnut Scheme,” Global Environment 11 (2013).</w:t>
      </w:r>
    </w:p>
    <w:p>
      <w:pPr>
        <w:pStyle w:val="Heading1"/>
        <w:spacing w:after="200" w:before="360"/>
      </w:pPr>
      <w:r>
        <w:rPr>
          <w:rFonts w:ascii="Georgia" w:cs="Georgia" w:eastAsia="Georgia" w:hAnsi="Georgia"/>
          <w:b/>
          <w:bCs/>
          <w:color w:val="1A1A1A"/>
          <w:sz w:val="30"/>
          <w:szCs w:val="30"/>
        </w:rPr>
        <w:t xml:space="preserve">A real crisis and a credible plan</w:t>
      </w:r>
    </w:p>
    <w:p>
      <w:pPr>
        <w:spacing w:after="200" w:line="300"/>
      </w:pPr>
      <w:r>
        <w:rPr>
          <w:rFonts w:ascii="Georgia" w:cs="Georgia" w:eastAsia="Georgia" w:hAnsi="Georgia"/>
          <w:sz w:val="23"/>
          <w:szCs w:val="23"/>
        </w:rPr>
        <w:t>Britain in 1946 was hungrier than it had been during the war. That July, bread went on ration for the first time in the country’s history, and edible fats, 90 percent of which Britain imported, were the tightest ration of all. Ministers had held urgent meetings early that year on the depletion of oil stocks, and officials read the shortage as the leading edge of a possible world food crisis. Buying more oil abroad was barely an option, because fats were scarce everywhere and Britain’s dollar reserves were nearly exhausted.</w:t>
      </w:r>
    </w:p>
    <w:p>
      <w:pPr>
        <w:spacing w:after="240"/>
      </w:pPr>
      <w:r>
        <w:rPr>
          <w:rFonts w:ascii="Georgia" w:cs="Georgia" w:eastAsia="Georgia" w:hAnsi="Georgia"/>
          <w:i/>
          <w:iCs/>
          <w:color w:val="777777"/>
          <w:sz w:val="18"/>
          <w:szCs w:val="18"/>
        </w:rPr>
        <w:t xml:space="preserve">Cmd. 6785, “The World Food Shortage” (1946); D. J. Morgan, The Official History of Colonial Development, vol. II (1980).</w:t>
      </w:r>
    </w:p>
    <w:p>
      <w:pPr>
        <w:spacing w:after="200" w:line="300"/>
      </w:pPr>
      <w:r>
        <w:rPr>
          <w:rFonts w:ascii="Georgia" w:cs="Georgia" w:eastAsia="Georgia" w:hAnsi="Georgia"/>
          <w:sz w:val="23"/>
          <w:szCs w:val="23"/>
        </w:rPr>
        <w:t>The idea came from Frank Samuel, managing director of the United Africa Company, a subsidiary of Unilever, which then supplied about three-quarters of Western Europe’s margarine. Flying over central Tanganyika, he wondered whether its “empty” bushland could grow oil crops, and he took the proposal to the Ministry of Food. The government sent out a mission under John Wakefield, an agronomist who had spent eighteen years in Tanganyika and had been its Director of Agriculture. Wakefield was no crank consulted by accident. He represented close to the best expertise available.</w:t>
      </w:r>
    </w:p>
    <w:p>
      <w:pPr>
        <w:spacing w:after="240"/>
      </w:pPr>
      <w:r>
        <w:rPr>
          <w:rFonts w:ascii="Georgia" w:cs="Georgia" w:eastAsia="Georgia" w:hAnsi="Georgia"/>
          <w:i/>
          <w:iCs/>
          <w:color w:val="777777"/>
          <w:sz w:val="18"/>
          <w:szCs w:val="18"/>
        </w:rPr>
        <w:t xml:space="preserve">Alan Wood, The Groundnut Affair (1950); Esselborn (2013).</w:t>
      </w:r>
    </w:p>
    <w:p>
      <w:pPr>
        <w:spacing w:after="200" w:line="300"/>
      </w:pPr>
      <w:r>
        <w:rPr>
          <w:rFonts w:ascii="Georgia" w:cs="Georgia" w:eastAsia="Georgia" w:hAnsi="Georgia"/>
          <w:sz w:val="23"/>
          <w:szCs w:val="23"/>
        </w:rPr>
        <w:t>The Wakefield mission spent nine weeks in East Africa, roughly two-thirds of it surveying from the air, and reported in September 1946. It enlarged the plan instead of trimming it, proposing 3.21 million acres cleared by machine and farmed as 107 units of 30,000 acres each, yielding 600,000 to 800,000 tons of peanuts a year from 1950. The estimated capital cost was £24 million, against savings to the Treasury of some £10 million a year, which meant payback in two to three years. A Labour government committed to state-led development, and a public that had just watched central planning win a world war, saw the scale as ambition rather than recklessness. The Times compared it to the Tennessee Valley Authority.</w:t>
      </w:r>
    </w:p>
    <w:p>
      <w:pPr>
        <w:spacing w:after="240"/>
      </w:pPr>
      <w:r>
        <w:rPr>
          <w:rFonts w:ascii="Georgia" w:cs="Georgia" w:eastAsia="Georgia" w:hAnsi="Georgia"/>
          <w:i/>
          <w:iCs/>
          <w:color w:val="777777"/>
          <w:sz w:val="18"/>
          <w:szCs w:val="18"/>
        </w:rPr>
        <w:t xml:space="preserve">Wakefield mission report, summarized in Cmd. 7030; Esselborn (2013).</w:t>
      </w:r>
    </w:p>
    <w:p>
      <w:pPr>
        <w:pStyle w:val="Heading1"/>
        <w:spacing w:after="200" w:before="360"/>
      </w:pPr>
      <w:r>
        <w:rPr>
          <w:rFonts w:ascii="Georgia" w:cs="Georgia" w:eastAsia="Georgia" w:hAnsi="Georgia"/>
          <w:b/>
          <w:bCs/>
          <w:color w:val="1A1A1A"/>
          <w:sz w:val="30"/>
          <w:szCs w:val="30"/>
        </w:rPr>
        <w:t>Why the planners waived a pilot scheme</w:t>
      </w:r>
    </w:p>
    <w:p>
      <w:pPr>
        <w:spacing w:after="200" w:line="300"/>
      </w:pPr>
      <w:r>
        <w:rPr>
          <w:rFonts w:ascii="Georgia" w:cs="Georgia" w:eastAsia="Georgia" w:hAnsi="Georgia"/>
          <w:sz w:val="23"/>
          <w:szCs w:val="23"/>
        </w:rPr>
        <w:t>The white paper itself admitted that the plan “clearly involves considerable risks,” because nothing on this scale had been attempted in regions so remote. The conventional answer to that kind of risk was a pilot scheme: farm a few thousand acres for a season or two, learn, then scale. The planners considered this and deliberately waived it, on the stated grounds that in so novel an undertaking nothing valuable could be learned from a small version. The Labour MP Ian Mikardo was still making the case in 1950: “one can learn nothing very valuable about farming 100,000 acres by digging up a single cabbage patch.”</w:t>
      </w:r>
    </w:p>
    <w:p>
      <w:pPr>
        <w:spacing w:after="240"/>
      </w:pPr>
      <w:r>
        <w:rPr>
          <w:rFonts w:ascii="Georgia" w:cs="Georgia" w:eastAsia="Georgia" w:hAnsi="Georgia"/>
          <w:i/>
          <w:iCs/>
          <w:color w:val="777777"/>
          <w:sz w:val="18"/>
          <w:szCs w:val="18"/>
        </w:rPr>
        <w:t xml:space="preserve">Cmd. 7030, p. 4; HC Deb 18 July 1950, Hansard vol. 477, col. 2099.</w:t>
      </w:r>
    </w:p>
    <w:p>
      <w:pPr>
        <w:spacing w:after="200" w:line="300"/>
      </w:pPr>
      <w:r>
        <w:rPr>
          <w:rFonts w:ascii="Georgia" w:cs="Georgia" w:eastAsia="Georgia" w:hAnsi="Georgia"/>
          <w:sz w:val="23"/>
          <w:szCs w:val="23"/>
        </w:rPr>
        <w:t>The reasoning was not stupid. If the innovation is scale itself, meaning mechanized clearing and giant uniform fields, then a small trial says little about the part that is new. A pilot also had a real price: three to five years of data-gathering while the fats ration stayed cut and the crisis deepened. The Cabinet approved the plan in January 1947, and the first ships landed men and machinery in February. The haste was so great that the United Africa Company ran the project as managing agent until the state’s Overseas Food Corporation could be created to take over in April 1948. A reasonable person under that pressure, holding that expert report, might well have signed.</w:t>
      </w:r>
    </w:p>
    <w:p>
      <w:pPr>
        <w:spacing w:after="240"/>
      </w:pPr>
      <w:r>
        <w:rPr>
          <w:rFonts w:ascii="Georgia" w:cs="Georgia" w:eastAsia="Georgia" w:hAnsi="Georgia"/>
          <w:i/>
          <w:iCs/>
          <w:color w:val="777777"/>
          <w:sz w:val="18"/>
          <w:szCs w:val="18"/>
        </w:rPr>
        <w:t xml:space="preserve">Esselborn (2013); Morgan (1980).</w:t>
      </w:r>
    </w:p>
    <w:p>
      <w:pPr>
        <w:pStyle w:val="Heading1"/>
        <w:spacing w:after="200" w:before="360"/>
      </w:pPr>
      <w:r>
        <w:rPr>
          <w:rFonts w:ascii="Georgia" w:cs="Georgia" w:eastAsia="Georgia" w:hAnsi="Georgia"/>
          <w:b/>
          <w:bCs/>
          <w:color w:val="1A1A1A"/>
          <w:sz w:val="30"/>
          <w:szCs w:val="30"/>
        </w:rPr>
        <w:t xml:space="preserve">What the skipped test would have caught</w:t>
      </w:r>
    </w:p>
    <w:p>
      <w:pPr>
        <w:spacing w:after="200" w:line="300"/>
      </w:pPr>
      <w:r>
        <w:rPr>
          <w:rFonts w:ascii="Georgia" w:cs="Georgia" w:eastAsia="Georgia" w:hAnsi="Georgia"/>
          <w:sz w:val="23"/>
          <w:szCs w:val="23"/>
        </w:rPr>
        <w:t>The scheme’s first site was Kongwa, in central Tanganyika. The warnings about it at the time were specific, and they did not come from a lone dissenter. Local people knew the area as the “country of perpetual drought.” The governor of Tanganyika explicitly advised against it. The best available meteorological data showed the region to be among the driest in the territory, with rainfall below the minimum peanuts require. Alan Wood, the scheme’s own former information chief, later noted that a missionary had tried to farm there in 1878 and given up for lack of water. The planners went ahead anyway, and here the scheme’s founding argument did its damage. Once “small-scale caution teaches nothing” is the premise, ground-level objections read as exactly the timidity the project exists to overcome.</w:t>
      </w:r>
    </w:p>
    <w:p>
      <w:pPr>
        <w:spacing w:after="240"/>
      </w:pPr>
      <w:r>
        <w:rPr>
          <w:rFonts w:ascii="Georgia" w:cs="Georgia" w:eastAsia="Georgia" w:hAnsi="Georgia"/>
          <w:i/>
          <w:iCs/>
          <w:color w:val="777777"/>
          <w:sz w:val="18"/>
          <w:szCs w:val="18"/>
        </w:rPr>
        <w:t xml:space="preserve">John Iliffe, A Modern History of Tanganyika (1979), p. 443; Morgan (1980), p. 228; Wood (1950), p. 38.</w:t>
      </w:r>
    </w:p>
    <w:p>
      <w:pPr>
        <w:spacing w:after="200" w:line="300"/>
      </w:pPr>
      <w:r>
        <w:rPr>
          <w:rFonts w:ascii="Georgia" w:cs="Georgia" w:eastAsia="Georgia" w:hAnsi="Georgia"/>
          <w:sz w:val="23"/>
          <w:szCs w:val="23"/>
        </w:rPr>
        <w:t>The planners’ data practices were consistent with that premise. Soil suitability at Kongwa rested partly on digging up one-fortieth of an acre of locally grown groundnuts. Urambo, the western site, was assessed using rainfall figures from a station nearly 100 kilometers away. The full-scale scheme discovered at full-scale prices what a trial season would have revealed. Thornbush and baobab grew over a mat of rubbery roots that resisted clearing. Up to 75 percent of the secondhand tractors were sometimes out of action. Converted Sherman tanks proved costlier than the bulldozers they replaced. The soil was so laden with clay and quartz that it baked concrete-hard in the dry season, wearing out a plowshare in five hours and locking unharvested nuts in the ground. At Urambo, continuous peanut monoculture bred rosette virus so badly that growing peanuts there was officially banned for several years from 1953.</w:t>
      </w:r>
    </w:p>
    <w:p>
      <w:pPr>
        <w:spacing w:after="240"/>
      </w:pPr>
      <w:r>
        <w:rPr>
          <w:rFonts w:ascii="Georgia" w:cs="Georgia" w:eastAsia="Georgia" w:hAnsi="Georgia"/>
          <w:i/>
          <w:iCs/>
          <w:color w:val="777777"/>
          <w:sz w:val="18"/>
          <w:szCs w:val="18"/>
        </w:rPr>
        <w:t xml:space="preserve">J. S. Hogendorn and K. M. Scott, “The East African Groundnut Scheme”; Esselborn (2013); Wood (1950), pp. 177–182.</w:t>
      </w:r>
    </w:p>
    <w:p>
      <w:pPr>
        <w:pStyle w:val="Heading1"/>
        <w:spacing w:after="200" w:before="360"/>
      </w:pPr>
      <w:r>
        <w:rPr>
          <w:rFonts w:ascii="Georgia" w:cs="Georgia" w:eastAsia="Georgia" w:hAnsi="Georgia"/>
          <w:b/>
          <w:bCs/>
          <w:color w:val="1A1A1A"/>
          <w:sz w:val="30"/>
          <w:szCs w:val="30"/>
        </w:rPr>
        <w:t xml:space="preserve">The bill, and the quiet correction</w:t>
      </w:r>
    </w:p>
    <w:p>
      <w:pPr>
        <w:spacing w:after="200" w:line="300"/>
      </w:pPr>
      <w:r>
        <w:rPr>
          <w:rFonts w:ascii="Georgia" w:cs="Georgia" w:eastAsia="Georgia" w:hAnsi="Georgia"/>
          <w:sz w:val="23"/>
          <w:szCs w:val="23"/>
        </w:rPr>
        <w:t>In January 1951 the government cut the scheme down to a small experimental operation and wrote off nearly £36 million, roughly £900 million in 2011 prices. The final trigger was that the Overseas Food Corporation was about to exceed its £55 million spending ceiling. By 1955, close to nine-tenths of the land that had been cleared was judged unsuitable and no longer cultivated. British popular memory filed the episode as a bureaucratic farce about peanuts. The scholarship tells a more useful story, of competent, experienced people carrying out an explicit theory about why caution was the risky option. The most concrete legacy corrected exactly that theory. Historians note that the Kongwa disaster measurably raised the standing of small pilot projects in postwar development practice. In effect, the profession went back and paid for the step it had skipped.</w:t>
      </w:r>
    </w:p>
    <w:p>
      <w:pPr>
        <w:spacing w:after="240"/>
      </w:pPr>
      <w:r>
        <w:rPr>
          <w:rFonts w:ascii="Georgia" w:cs="Georgia" w:eastAsia="Georgia" w:hAnsi="Georgia"/>
          <w:i/>
          <w:iCs/>
          <w:color w:val="777777"/>
          <w:sz w:val="18"/>
          <w:szCs w:val="18"/>
        </w:rPr>
        <w:t xml:space="preserve">Cmd. 8125, “The Future of the Overseas Food Corporation” (1951); Matteo Rizzo, “What Was Left of the Groundnut Scheme?” Journal of Agrarian Change 6:2 (2006); Esselborn (2013).</w:t>
      </w:r>
    </w:p>
    <w:p>
      <w:pPr>
        <w:pStyle w:val="Heading1"/>
        <w:spacing w:after="200" w:before="360"/>
      </w:pPr>
      <w:r>
        <w:rPr>
          <w:rFonts w:ascii="Georgia" w:cs="Georgia" w:eastAsia="Georgia" w:hAnsi="Georgia"/>
          <w:b/>
          <w:bCs/>
          <w:color w:val="1A1A1A"/>
          <w:sz w:val="30"/>
          <w:szCs w:val="30"/>
        </w:rPr>
        <w:t xml:space="preserve">Takeaways</w:t>
      </w:r>
    </w:p>
    <w:p>
      <w:pPr>
        <w:spacing w:after="240" w:line="300"/>
      </w:pPr>
      <w:r>
        <w:rPr>
          <w:rFonts w:ascii="Georgia" w:cs="Georgia" w:eastAsia="Georgia" w:hAnsi="Georgia"/>
          <w:b/>
          <w:bCs/>
          <w:sz w:val="23"/>
          <w:szCs w:val="23"/>
        </w:rPr>
        <w:t>Why this matters:</w:t>
      </w:r>
      <w:r>
        <w:rPr>
          <w:rFonts w:ascii="Georgia" w:cs="Georgia" w:eastAsia="Georgia" w:hAnsi="Georgia"/>
          <w:sz w:val="23"/>
          <w:szCs w:val="23"/>
        </w:rPr>
        <w:t xml:space="preserve"> The planners argued the pilot away. Their premise, that an extraordinary crisis demands extraordinary scale, turned every ground-level warning into evidence of timidity, so the governor’s objection and the rainfall data carried no force even though they were known. When skipping verification becomes part of a plan’s identity, warnings stop working as information.</w:t>
      </w:r>
    </w:p>
    <w:p>
      <w:pPr>
        <w:spacing w:after="240" w:line="300"/>
      </w:pPr>
      <w:r>
        <w:rPr>
          <w:rFonts w:ascii="Georgia" w:cs="Georgia" w:eastAsia="Georgia" w:hAnsi="Georgia"/>
          <w:b/>
          <w:bCs/>
          <w:sz w:val="23"/>
          <w:szCs w:val="23"/>
        </w:rPr>
        <w:t>What this means today:</w:t>
      </w:r>
      <w:r>
        <w:rPr>
          <w:rFonts w:ascii="Georgia" w:cs="Georgia" w:eastAsia="Georgia" w:hAnsi="Georgia"/>
          <w:sz w:val="23"/>
          <w:szCs w:val="23"/>
        </w:rPr>
        <w:t xml:space="preserve"> The same argument recurs wherever urgency meets ambition: “we cannot learn anything from a small version.” Sometimes that is true. The test is whether the binding uncertainty concerns scale itself or local facts, such as soil, users, supply chains, and unit costs, that a small version reveals cheaply. In the groundnut case, every fact that killed the scheme was local, empirical, and discoverable in one cheap season.</w:t>
      </w:r>
    </w:p>
    <w:p>
      <w:pPr>
        <w:spacing w:after="240" w:line="300"/>
      </w:pPr>
      <w:r>
        <w:rPr>
          <w:rFonts w:ascii="Georgia" w:cs="Georgia" w:eastAsia="Georgia" w:hAnsi="Georgia"/>
          <w:b/>
          <w:bCs/>
          <w:sz w:val="23"/>
          <w:szCs w:val="23"/>
        </w:rPr>
        <w:t>Where the lesson runs out:</w:t>
      </w:r>
      <w:r>
        <w:rPr>
          <w:rFonts w:ascii="Georgia" w:cs="Georgia" w:eastAsia="Georgia" w:hAnsi="Georgia"/>
          <w:sz w:val="23"/>
          <w:szCs w:val="23"/>
        </w:rPr>
        <w:t xml:space="preserve"> Some undertakings cannot be piloted, such as those that depend on network effects or deterrence, or projects whose economics only exist at scale. A pilot’s cost in crisis time is also real, since Britain would have waited years while the ration bit. The lesson holds when the fatal uncertainties are local and testable. It reverses when “pilot first” becomes a standing excuse never to attempt anything large.</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2026-08-09T22:53:54.530Z</dcterms:created>
  <dcterms:modified xsi:type="dcterms:W3CDTF">2026-08-09T22:53:54.530Z</dcterms:modified>
</cp:coreProperties>
</file>

<file path=docProps/custom.xml><?xml version="1.0" encoding="utf-8"?>
<Properties xmlns="http://schemas.openxmlformats.org/officeDocument/2006/custom-properties" xmlns:vt="http://schemas.openxmlformats.org/officeDocument/2006/docPropsVTypes"/>
</file>