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A1A1A"/>
          <w:sz w:val="40"/>
          <w:szCs w:val="40"/>
        </w:rPr>
        <w:t xml:space="preserve">The Real Mistake Wasn't Making the Vaccine — It Was Deciding Everything at Once</w:t>
      </w:r>
    </w:p>
    <w:p>
      <w:pPr>
        <w:pBdr>
          <w:bottom w:val="single" w:color="BBBBBB" w:sz="6" w:space="8"/>
        </w:pBdr>
        <w:spacing w:after="120"/>
      </w:pPr>
      <w:r>
        <w:rPr>
          <w:rFonts w:ascii="Georgia" w:cs="Georgia" w:eastAsia="Georgia" w:hAnsi="Georgia"/>
          <w:i/>
          <w:iCs/>
          <w:color w:val="666666"/>
          <w:sz w:val="20"/>
          <w:szCs w:val="20"/>
        </w:rPr>
        <w:t xml:space="preserve">The 1976 swine flu program — August 9, 2026</w:t>
      </w:r>
    </w:p>
    <w:p>
      <w:pPr>
        <w:spacing w:after="200" w:line="300"/>
      </w:pPr>
      <w:r>
        <w:rPr>
          <w:rFonts w:ascii="Georgia" w:cs="Georgia" w:eastAsia="Georgia" w:hAnsi="Georgia"/>
          <w:sz w:val="23"/>
          <w:szCs w:val="23"/>
        </w:rPr>
        <w:t xml:space="preserve"/>
      </w:r>
    </w:p>
    <w:p>
      <w:pPr>
        <w:spacing w:after="200" w:line="300"/>
      </w:pPr>
      <w:r>
        <w:rPr>
          <w:rFonts w:ascii="Georgia" w:cs="Georgia" w:eastAsia="Georgia" w:hAnsi="Georgia"/>
          <w:sz w:val="23"/>
          <w:szCs w:val="23"/>
        </w:rPr>
        <w:t>In February 1976, a nineteen-year-old Army private named David Lewis left his sick bed at Fort Dix, New Jersey, went on a five-mile night march, collapsed, and died. The virus in his lungs looked like a descendant of the 1918 flu, which had killed on the order of 50 million people worldwide. Within seven weeks the United States committed to vaccinating its entire population. The pandemic never came, the vaccine was linked to a rare paralytic illness, and the program collapsed into what memory now files under "government fiasco." Yet the scholars who studied it most closely concluded that the core judgment was defensible. What failed was the shape of the decision.</w:t>
      </w:r>
    </w:p>
    <w:p>
      <w:pPr>
        <w:spacing w:after="240"/>
      </w:pPr>
      <w:r>
        <w:rPr>
          <w:rFonts w:ascii="Georgia" w:cs="Georgia" w:eastAsia="Georgia" w:hAnsi="Georgia"/>
          <w:i/>
          <w:iCs/>
          <w:color w:val="666666"/>
          <w:sz w:val="18"/>
          <w:szCs w:val="18"/>
        </w:rPr>
        <w:t xml:space="preserve">Sencer &amp; Millar, "Reflections on the 1976 Swine Flu Vaccination Program," Emerging Infectious Diseases, 2006; Neustadt &amp; Fineberg, The Swine Flu Affair, 1978.</w:t>
      </w:r>
    </w:p>
    <w:p>
      <w:pPr>
        <w:pStyle w:val="Heading1"/>
        <w:spacing w:after="200" w:before="360"/>
      </w:pPr>
      <w:r>
        <w:rPr>
          <w:rFonts w:ascii="Georgia" w:cs="Georgia" w:eastAsia="Georgia" w:hAnsi="Georgia"/>
          <w:b/>
          <w:bCs/>
          <w:color w:val="1A1A1A"/>
          <w:sz w:val="28"/>
          <w:szCs w:val="28"/>
        </w:rPr>
        <w:t xml:space="preserve">A real virus and a clock that would not wait</w:t>
      </w:r>
    </w:p>
    <w:p>
      <w:pPr>
        <w:spacing w:after="200" w:line="300"/>
      </w:pPr>
      <w:r>
        <w:rPr>
          <w:rFonts w:ascii="Georgia" w:cs="Georgia" w:eastAsia="Georgia" w:hAnsi="Georgia"/>
          <w:sz w:val="23"/>
          <w:szCs w:val="23"/>
        </w:rPr>
        <w:t>In March 1976, the officials at the Center for Disease Control knew the following. Lab work confirmed a swine-type influenza strain, A/New Jersey/76, in recruits at Fort Dix, and blood tests showed more than 200 soldiers had been infected, evidence of person-to-person spread rather than a one-off jump from a pig. No American under about 50 had antibodies to anything like it. The strain was believed at the time to resemble the 1918 virus. And the reigning theory held that flu pandemics ran on a rough eleven-year cycle. There had been one in 1957 and another in 1968, and by that clock the next was due.</w:t>
      </w:r>
    </w:p>
    <w:p>
      <w:pPr>
        <w:spacing w:after="240"/>
      </w:pPr>
      <w:r>
        <w:rPr>
          <w:rFonts w:ascii="Georgia" w:cs="Georgia" w:eastAsia="Georgia" w:hAnsi="Georgia"/>
          <w:i/>
          <w:iCs/>
          <w:color w:val="666666"/>
          <w:sz w:val="18"/>
          <w:szCs w:val="18"/>
        </w:rPr>
        <w:t xml:space="preserve">Sencer &amp; Millar 2006; Hodder et al., Journal of Infectious Diseases, 1977, on the Fort Dix serology.</w:t>
      </w:r>
    </w:p>
    <w:p>
      <w:pPr>
        <w:spacing w:after="200" w:line="300"/>
      </w:pPr>
      <w:r>
        <w:rPr>
          <w:rFonts w:ascii="Georgia" w:cs="Georgia" w:eastAsia="Georgia" w:hAnsi="Georgia"/>
          <w:sz w:val="23"/>
          <w:szCs w:val="23"/>
        </w:rPr>
        <w:t>The clock mattered more than anything else. Flu vaccine was grown in fertilized hens' eggs, and manufacturers were about to slaughter their rooster flocks at the end of the season's production run, as they did every year. Waiting for proof that the virus was spreading meant losing months of manufacturing capacity that could not be bought back. Officials also remembered that in 1918 the spring outbreak at Fort Riley had gone quiet before the lethal wave arrived in late summer, so a silent spring proved nothing. If they waited for certainty, the vaccine would arrive after the bodies.</w:t>
      </w:r>
    </w:p>
    <w:p>
      <w:pPr>
        <w:spacing w:after="240"/>
      </w:pPr>
      <w:r>
        <w:rPr>
          <w:rFonts w:ascii="Georgia" w:cs="Georgia" w:eastAsia="Georgia" w:hAnsi="Georgia"/>
          <w:i/>
          <w:iCs/>
          <w:color w:val="666666"/>
          <w:sz w:val="18"/>
          <w:szCs w:val="18"/>
        </w:rPr>
        <w:t xml:space="preserve">Sencer &amp; Millar 2006 on the rooster flocks and the 1918 spring-lull precedent.</w:t>
      </w:r>
    </w:p>
    <w:p>
      <w:pPr>
        <w:pStyle w:val="Heading1"/>
        <w:spacing w:after="200" w:before="360"/>
      </w:pPr>
      <w:r>
        <w:rPr>
          <w:rFonts w:ascii="Georgia" w:cs="Georgia" w:eastAsia="Georgia" w:hAnsi="Georgia"/>
          <w:b/>
          <w:bCs/>
          <w:color w:val="1A1A1A"/>
          <w:sz w:val="28"/>
          <w:szCs w:val="28"/>
        </w:rPr>
        <w:t xml:space="preserve">One memo, four options, and a bundle that couldn't be unbundled</w:t>
      </w:r>
    </w:p>
    <w:p>
      <w:pPr>
        <w:spacing w:after="200" w:line="300"/>
      </w:pPr>
      <w:r>
        <w:rPr>
          <w:rFonts w:ascii="Georgia" w:cs="Georgia" w:eastAsia="Georgia" w:hAnsi="Georgia"/>
          <w:sz w:val="23"/>
          <w:szCs w:val="23"/>
        </w:rPr>
        <w:t>On March 13, CDC director David Sencer sent his superiors an action memo laying out four options, from doing nothing to a full federal program. He recommended the largest: contract with manufacturers to produce vaccine for every American, and have state health departments deliver it. The memo's key sentence argued that the government "can tolerate unnecessary health expenditures better than unnecessary death and illness." President Ford convened a blue-ribbon panel that pointedly included both Jonas Salk and Albert Sabin, rivals who agreed on almost nothing but endorsed this, and he announced the program on March 24. Congress appropriated $137 million with bipartisan speed.</w:t>
      </w:r>
    </w:p>
    <w:p>
      <w:pPr>
        <w:spacing w:after="240"/>
      </w:pPr>
      <w:r>
        <w:rPr>
          <w:rFonts w:ascii="Georgia" w:cs="Georgia" w:eastAsia="Georgia" w:hAnsi="Georgia"/>
          <w:i/>
          <w:iCs/>
          <w:color w:val="666666"/>
          <w:sz w:val="18"/>
          <w:szCs w:val="18"/>
        </w:rPr>
        <w:t xml:space="preserve">Sencer &amp; Millar 2006; the Sencer memo is reproduced in Neustadt &amp; Fineberg 1978.</w:t>
      </w:r>
    </w:p>
    <w:p>
      <w:pPr>
        <w:spacing w:after="200" w:line="300"/>
      </w:pPr>
      <w:r>
        <w:rPr>
          <w:rFonts w:ascii="Georgia" w:cs="Georgia" w:eastAsia="Georgia" w:hAnsi="Georgia"/>
          <w:sz w:val="23"/>
          <w:szCs w:val="23"/>
        </w:rPr>
        <w:t>Inside the advisory committee, one member, Russell Alexander of the University of Washington, argued for a split decision. Under his proposal, the vaccine would be manufactured now, while the eggs and roosters still existed, and then stockpiled, with vaccination to follow only if the virus reappeared. That would have preserved the option the clock was destroying without committing needles to arms. The majority rejected it for a serious reason. In the jet age, they believed, a pandemic strain would outrun any distribution campaign, and vaccine in warehouses protects no one. Sencer's memo folded production and mass vaccination into a single go/no-go choice, and everyone up the chain, from the secretary and the panel to the president and four congressional committees, ratified the bundle rather than the pieces.</w:t>
      </w:r>
    </w:p>
    <w:p>
      <w:pPr>
        <w:spacing w:after="240"/>
      </w:pPr>
      <w:r>
        <w:rPr>
          <w:rFonts w:ascii="Georgia" w:cs="Georgia" w:eastAsia="Georgia" w:hAnsi="Georgia"/>
          <w:i/>
          <w:iCs/>
          <w:color w:val="666666"/>
          <w:sz w:val="18"/>
          <w:szCs w:val="18"/>
        </w:rPr>
        <w:t xml:space="preserve">Neustadt &amp; Fineberg 1978 document Alexander's stockpile position and the bundling; Sencer &amp; Millar 2006 note one ACIP member favored stockpiling.</w:t>
      </w:r>
    </w:p>
    <w:p>
      <w:pPr>
        <w:spacing w:after="200" w:line="300"/>
      </w:pPr>
      <w:r>
        <w:rPr>
          <w:rFonts w:ascii="Georgia" w:cs="Georgia" w:eastAsia="Georgia" w:hAnsi="Georgia"/>
          <w:sz w:val="23"/>
          <w:szCs w:val="23"/>
        </w:rPr>
        <w:t>Whether the bundle was a blunder is the genuine dispute in this story. Neustadt and Fineberg, commissioned by the government to autopsy the affair in 1978, concluded that the fatal flaw was overconfidence plus the absence of built-in review points, meaning no date at which anyone was scheduled to ask "is this still a good idea?" Sencer defended the go decision until his death, arguing that when lives are at stake it is better to err toward overreaction. Serious people hold both positions. The record supports a narrower claim, that nobody structured the choice so it could be revisited cheaply.</w:t>
      </w:r>
    </w:p>
    <w:p>
      <w:pPr>
        <w:spacing w:after="240"/>
      </w:pPr>
      <w:r>
        <w:rPr>
          <w:rFonts w:ascii="Georgia" w:cs="Georgia" w:eastAsia="Georgia" w:hAnsi="Georgia"/>
          <w:i/>
          <w:iCs/>
          <w:color w:val="666666"/>
          <w:sz w:val="18"/>
          <w:szCs w:val="18"/>
        </w:rPr>
        <w:t xml:space="preserve">Neustadt &amp; Fineberg 1978; Sencer &amp; Millar 2006, "Decision-making Risks."</w:t>
      </w:r>
    </w:p>
    <w:p>
      <w:pPr>
        <w:pStyle w:val="Heading1"/>
        <w:spacing w:after="200" w:before="360"/>
      </w:pPr>
      <w:r>
        <w:rPr>
          <w:rFonts w:ascii="Georgia" w:cs="Georgia" w:eastAsia="Georgia" w:hAnsi="Georgia"/>
          <w:b/>
          <w:bCs/>
          <w:color w:val="1A1A1A"/>
          <w:sz w:val="28"/>
          <w:szCs w:val="28"/>
        </w:rPr>
        <w:t xml:space="preserve">A silent summer, and no ramp off the highway</w:t>
      </w:r>
    </w:p>
    <w:p>
      <w:pPr>
        <w:spacing w:after="200" w:line="300"/>
      </w:pPr>
      <w:r>
        <w:rPr>
          <w:rFonts w:ascii="Georgia" w:cs="Georgia" w:eastAsia="Georgia" w:hAnsi="Georgia"/>
          <w:sz w:val="23"/>
          <w:szCs w:val="23"/>
        </w:rPr>
        <w:t>Then the evidence quietly began to change. The virus never appeared again. It did not return at Fort Dix or in the surrounding counties, and the Southern Hemisphere's winter flu season came and went that summer without a trace of A/New Jersey. In a program with review points, that silence would have triggered the stockpile option. Instead, momentum carried the program forward. When manufacturers refused to ship without federal indemnification against lawsuits, Congress granted it in August. It was a capitulation that, as Sencer himself later wrote, broadcast the subliminal message that "there's something wrong with this vaccine." Shots began October 1. Within ten days, three elderly people died of heart attacks after visiting the same Pittsburgh clinic. The investigation found the deaths were coincidental, but they set off a press storm anyway. Forty-five million Americans were vaccinated in ten weeks, roughly double the previous flu-season record.</w:t>
      </w:r>
    </w:p>
    <w:p>
      <w:pPr>
        <w:spacing w:after="240"/>
      </w:pPr>
      <w:r>
        <w:rPr>
          <w:rFonts w:ascii="Georgia" w:cs="Georgia" w:eastAsia="Georgia" w:hAnsi="Georgia"/>
          <w:i/>
          <w:iCs/>
          <w:color w:val="666666"/>
          <w:sz w:val="18"/>
          <w:szCs w:val="18"/>
        </w:rPr>
        <w:t xml:space="preserve">Sencer &amp; Millar 2006; the CDC's own surveillance unit, NIIP-SAC, is described there as the program's "Trojan horse."</w:t>
      </w:r>
    </w:p>
    <w:p>
      <w:pPr>
        <w:spacing w:after="200" w:line="300"/>
      </w:pPr>
      <w:r>
        <w:rPr>
          <w:rFonts w:ascii="Georgia" w:cs="Georgia" w:eastAsia="Georgia" w:hAnsi="Georgia"/>
          <w:sz w:val="23"/>
          <w:szCs w:val="23"/>
        </w:rPr>
        <w:t>The program's own honesty ended it. Its surveillance system detected a small excess of Guillain-Barré syndrome among the vaccinated. The syndrome is a rare disorder in which the immune system attacks the nerves, causing paralysis that is usually temporary but sometimes fatal. Later analysis put the excess at roughly one case per 100,000 vaccinations. Around 500 cases and, by common estimates, about 25 deaths were attributed to the campaign. Against an actual pandemic, that risk would have been invisible, but against zero circulating virus it was unanswerable. The government suspended the program on December 16, 1976. Sencer was dismissed within weeks of the new administration taking office. The New York Times had already coined the phrase that stuck: "swine flu fiasco."</w:t>
      </w:r>
    </w:p>
    <w:p>
      <w:pPr>
        <w:spacing w:after="240"/>
      </w:pPr>
      <w:r>
        <w:rPr>
          <w:rFonts w:ascii="Georgia" w:cs="Georgia" w:eastAsia="Georgia" w:hAnsi="Georgia"/>
          <w:i/>
          <w:iCs/>
          <w:color w:val="666666"/>
          <w:sz w:val="18"/>
          <w:szCs w:val="18"/>
        </w:rPr>
        <w:t xml:space="preserve">Schonberger et al., Annals of Neurology, 1981, established the excess-risk estimate; Sencer &amp; Millar 2006 on the moratorium and dismissal.</w:t>
      </w:r>
    </w:p>
    <w:p>
      <w:pPr>
        <w:pStyle w:val="Heading1"/>
        <w:spacing w:after="200" w:before="360"/>
      </w:pPr>
      <w:r>
        <w:rPr>
          <w:rFonts w:ascii="Georgia" w:cs="Georgia" w:eastAsia="Georgia" w:hAnsi="Georgia"/>
          <w:b/>
          <w:bCs/>
          <w:color w:val="1A1A1A"/>
          <w:sz w:val="28"/>
          <w:szCs w:val="28"/>
        </w:rPr>
        <w:t>The popular account and the record</w:t>
      </w:r>
    </w:p>
    <w:p>
      <w:pPr>
        <w:spacing w:after="200" w:line="300"/>
      </w:pPr>
      <w:r>
        <w:rPr>
          <w:rFonts w:ascii="Georgia" w:cs="Georgia" w:eastAsia="Georgia" w:hAnsi="Georgia"/>
          <w:sz w:val="23"/>
          <w:szCs w:val="23"/>
        </w:rPr>
        <w:t>The popular version, with its panicky bureaucrats and election-year politics, does not survive contact with the record. The decision was made in public, endorsed by the most respected scientists alive, and grounded in a real virus with real person-to-person spread. A reasonable person holding their information would plausibly have done the same. The failure lay in how the decision was built. What should have been a sequence of small, revisable commitments was cast as one large, irreversible one, and every institution that touched it added momentum instead of checkpoints. By the time the disconfirming evidence arrived, in a summer and a Southern Hemisphere winter with no virus, there was no cheap way to act on it. Stopping now meant admitting the whole thing had been a mistake rather than closing one branch of a plan.</w:t>
      </w:r>
    </w:p>
    <w:p>
      <w:pPr>
        <w:spacing w:after="240" w:line="300"/>
      </w:pPr>
      <w:r>
        <w:rPr>
          <w:rFonts w:ascii="Georgia" w:cs="Georgia" w:eastAsia="Georgia" w:hAnsi="Georgia"/>
          <w:b/>
          <w:bCs/>
          <w:sz w:val="23"/>
          <w:szCs w:val="23"/>
        </w:rPr>
        <w:t>Why this matters:</w:t>
      </w:r>
      <w:r>
        <w:rPr>
          <w:rFonts w:ascii="Georgia" w:cs="Georgia" w:eastAsia="Georgia" w:hAnsi="Georgia"/>
          <w:sz w:val="23"/>
          <w:szCs w:val="23"/>
        </w:rPr>
        <w:t xml:space="preserve"> Under time pressure, the instinct is to decide everything at once, because bundling projects confidence and wins appropriations. The 1976 program shows the cost. A bundled decision can be abandoned but not adjusted, and abandonment is so expensive that organizations keep driving past the evidence. The defensible bet and the fiasco were the same decision. What separated them was the absence of a scheduled moment to ask the question again.</w:t>
      </w:r>
    </w:p>
    <w:p>
      <w:pPr>
        <w:spacing w:after="240" w:line="300"/>
      </w:pPr>
      <w:r>
        <w:rPr>
          <w:rFonts w:ascii="Georgia" w:cs="Georgia" w:eastAsia="Georgia" w:hAnsi="Georgia"/>
          <w:b/>
          <w:bCs/>
          <w:sz w:val="23"/>
          <w:szCs w:val="23"/>
        </w:rPr>
        <w:t>What this means today:</w:t>
      </w:r>
      <w:r>
        <w:rPr>
          <w:rFonts w:ascii="Georgia" w:cs="Georgia" w:eastAsia="Georgia" w:hAnsi="Georgia"/>
          <w:sz w:val="23"/>
          <w:szCs w:val="23"/>
        </w:rPr>
        <w:t xml:space="preserve"> This is the standing dilemma of pandemic preparedness, and it cuts both ways. The 2009 H1N1 response and COVID-era vaccine programs were built partly on this episode's lessons: produce at risk, and decide deployment separately. The pattern is general. Any organization that commits capital, credibility, and a public promise in one motion has built itself a 1976. Looking right today is not enough. The test of a big commitment is whether anyone has written down what evidence, arriving later, would shrink it.</w:t>
      </w:r>
    </w:p>
    <w:p>
      <w:pPr>
        <w:spacing w:after="240" w:line="300"/>
      </w:pPr>
      <w:r>
        <w:rPr>
          <w:rFonts w:ascii="Georgia" w:cs="Georgia" w:eastAsia="Georgia" w:hAnsi="Georgia"/>
          <w:b/>
          <w:bCs/>
          <w:sz w:val="23"/>
          <w:szCs w:val="23"/>
        </w:rPr>
        <w:t>Where the lesson runs out:</w:t>
      </w:r>
      <w:r>
        <w:rPr>
          <w:rFonts w:ascii="Georgia" w:cs="Georgia" w:eastAsia="Georgia" w:hAnsi="Georgia"/>
          <w:sz w:val="23"/>
          <w:szCs w:val="23"/>
        </w:rPr>
        <w:t xml:space="preserve"> The stockpile option exists only when there is a gap between production and deployment and the threat moves slower than your logistics. The 1976 majority's argument, that a jet-age pandemic would outrun distribution, was wrong that year but is not wrong in general. In 2009, H1N1 circled the globe before vaccines were ready. Where waiting genuinely forfeits the intervention, decoupling is an illusion, and the bundle is the honest choice. The lesson is to check whether you are in that situation rather than assume you are.</w:t>
      </w:r>
    </w:p>
    <w:p>
      <w:pPr>
        <w:spacing w:after="240"/>
      </w:pPr>
      <w:r>
        <w:rPr>
          <w:rFonts w:ascii="Georgia" w:cs="Georgia" w:eastAsia="Georgia" w:hAnsi="Georgia"/>
          <w:i/>
          <w:iCs/>
          <w:color w:val="666666"/>
          <w:sz w:val="18"/>
          <w:szCs w:val="18"/>
        </w:rPr>
        <w:t xml:space="preserve"/>
      </w:r>
    </w:p>
    <w:sectPr>
      <w:pgSz w:w="12240" w:h="15840" w:orient="portrait"/>
      <w:pgMar w:top="1440" w:right="1600" w:bottom="1440" w:left="16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2026-08-09T18:04:13.727Z</dcterms:created>
  <dcterms:modified xsi:type="dcterms:W3CDTF">2026-08-09T18:04:13.727Z</dcterms:modified>
</cp:coreProperties>
</file>

<file path=docProps/custom.xml><?xml version="1.0" encoding="utf-8"?>
<Properties xmlns="http://schemas.openxmlformats.org/officeDocument/2006/custom-properties" xmlns:vt="http://schemas.openxmlformats.org/officeDocument/2006/docPropsVTypes"/>
</file>