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7293D"/>
          <w:sz w:val="40"/>
          <w:szCs w:val="40"/>
        </w:rPr>
        <w:t xml:space="preserve">Nobody Blundered, and Australia Still Got Three Incompatible Railways</w:t>
      </w:r>
    </w:p>
    <w:p>
      <w:pPr>
        <w:spacing w:after="60"/>
      </w:pPr>
      <w:r>
        <w:rPr>
          <w:rFonts w:ascii="Georgia" w:cs="Georgia" w:eastAsia="Georgia" w:hAnsi="Georgia"/>
          <w:i/>
          <w:iCs/>
          <w:color w:val="4A5A6A"/>
          <w:sz w:val="24"/>
          <w:szCs w:val="24"/>
        </w:rPr>
        <w:t xml:space="preserve">How a chain of individually sensible decisions in the 1850s cost a continent 140 years of broken transport</w:t>
      </w:r>
    </w:p>
    <w:p>
      <w:pPr>
        <w:pBdr>
          <w:bottom w:val="single" w:color="B8C4CE" w:sz="6" w:space="8"/>
        </w:pBdr>
        <w:spacing w:after="320"/>
      </w:pPr>
      <w:r>
        <w:rPr>
          <w:rFonts w:ascii="Georgia" w:cs="Georgia" w:eastAsia="Georgia" w:hAnsi="Georgia"/>
          <w:color w:val="8A8A8A"/>
          <w:sz w:val="18"/>
          <w:szCs w:val="18"/>
        </w:rPr>
        <w:t xml:space="preserve">August 15, 2026</w:t>
      </w:r>
    </w:p>
    <w:p>
      <w:pPr>
        <w:spacing w:after="200" w:line="300"/>
        <w:jc w:val="left"/>
      </w:pPr>
      <w:r>
        <w:rPr>
          <w:rFonts w:ascii="Georgia" w:cs="Georgia" w:eastAsia="Georgia" w:hAnsi="Georgia"/>
          <w:b w:val="false"/>
          <w:bCs w:val="false"/>
          <w:i w:val="false"/>
          <w:iCs w:val="false"/>
          <w:color w:val="1A1A1A"/>
          <w:sz w:val="22"/>
          <w:szCs w:val="22"/>
        </w:rPr>
        <w:t>In the 1850s and 1860s, Australia's colonies built their railways in three different track widths, and the country spent the next century and a half paying for it. Trains from Sydney could not run on Victorian track, and Victorian trains could not run in Queensland. Yet the best scholarship on the episode has established in detail that nearly every decision in the chain was reasonable when it was made. That makes this one of the cleanest documented cases of a collective failure assembled entirely from sensible individual choices.</w:t>
      </w:r>
    </w:p>
    <w:p>
      <w:pPr>
        <w:spacing w:after="260"/>
      </w:pPr>
      <w:r>
        <w:rPr>
          <w:rFonts w:ascii="Georgia" w:cs="Georgia" w:eastAsia="Georgia" w:hAnsi="Georgia"/>
          <w:i/>
          <w:iCs/>
          <w:color w:val="6B6B6B"/>
          <w:sz w:val="18"/>
          <w:szCs w:val="18"/>
        </w:rPr>
        <w:t xml:space="preserve">Douglas J. Puffert, Tracks across Continents, Paths through History: The Economic Dynamics of Standardization in Railway Gauge (University of Chicago Press, 2009).</w:t>
      </w:r>
    </w:p>
    <w:p>
      <w:pPr>
        <w:pStyle w:val="Heading1"/>
        <w:spacing w:after="200" w:before="360"/>
      </w:pPr>
      <w:r>
        <w:rPr>
          <w:rFonts w:ascii="Georgia" w:cs="Georgia" w:eastAsia="Georgia" w:hAnsi="Georgia"/>
          <w:b/>
          <w:bCs/>
          <w:color w:val="1F3550"/>
          <w:sz w:val="28"/>
          <w:szCs w:val="28"/>
        </w:rPr>
        <w:t xml:space="preserve">A resignation and a two-year gap undid an agreement everyone had signed</w:t>
      </w:r>
    </w:p>
    <w:p>
      <w:pPr>
        <w:spacing w:after="200" w:line="300"/>
        <w:jc w:val="left"/>
      </w:pPr>
      <w:r>
        <w:rPr>
          <w:rFonts w:ascii="Georgia" w:cs="Georgia" w:eastAsia="Georgia" w:hAnsi="Georgia"/>
          <w:b w:val="false"/>
          <w:bCs w:val="false"/>
          <w:i w:val="false"/>
          <w:iCs w:val="false"/>
          <w:color w:val="1A1A1A"/>
          <w:sz w:val="22"/>
          <w:szCs w:val="22"/>
        </w:rPr>
        <w:t>Track gauge is the distance between the two rails. Trains built for one gauge cannot run on another, which makes gauge the most basic compatibility choice a railway system makes. In 1846 Britain had settled its own gauge wars by legislating a standard of 4 feet 8½ inches, and a despatch from London that year urged the Australian colonies to adopt the same.</w:t>
      </w:r>
    </w:p>
    <w:p>
      <w:pPr>
        <w:spacing w:after="200" w:line="300"/>
        <w:jc w:val="left"/>
      </w:pPr>
      <w:r>
        <w:rPr>
          <w:rFonts w:ascii="Georgia" w:cs="Georgia" w:eastAsia="Georgia" w:hAnsi="Georgia"/>
          <w:b w:val="false"/>
          <w:bCs w:val="false"/>
          <w:i w:val="false"/>
          <w:iCs w:val="false"/>
          <w:color w:val="1A1A1A"/>
          <w:sz w:val="22"/>
          <w:szCs w:val="22"/>
        </w:rPr>
        <w:t>The engineers then weighed in, each with defensible views. Francis Webb Sheilds, the Irish-born chief engineer of the Sydney Railway Company, persuaded New South Wales in the early 1850s to adopt Ireland's broader 5-foot-3-inch gauge instead, arguing that it gave better capacity and stability. Engineering opinion on the ideal gauge was divided, and London's Board of Trade endorsed the proposal, so the choice was not eccentric. The other colonies agreed to match. For a moment, Australia had a common gauge on paper, though not the British one.</w:t>
      </w:r>
    </w:p>
    <w:p>
      <w:pPr>
        <w:spacing w:after="260"/>
      </w:pPr>
      <w:r>
        <w:rPr>
          <w:rFonts w:ascii="Georgia" w:cs="Georgia" w:eastAsia="Georgia" w:hAnsi="Georgia"/>
          <w:i/>
          <w:iCs/>
          <w:color w:val="6B6B6B"/>
          <w:sz w:val="18"/>
          <w:szCs w:val="18"/>
        </w:rPr>
        <w:t xml:space="preserve">Puffert (2009); 'Australia's mixed gauge railway system: a reassessment of its origins,' Journal of the Royal Australian Historical Society (2010).</w:t>
      </w:r>
    </w:p>
    <w:p>
      <w:pPr>
        <w:spacing w:after="200" w:line="300"/>
        <w:jc w:val="left"/>
      </w:pPr>
      <w:r>
        <w:rPr>
          <w:rFonts w:ascii="Georgia" w:cs="Georgia" w:eastAsia="Georgia" w:hAnsi="Georgia"/>
          <w:b w:val="false"/>
          <w:bCs w:val="false"/>
          <w:i w:val="false"/>
          <w:iCs w:val="false"/>
          <w:color w:val="1A1A1A"/>
          <w:sz w:val="22"/>
          <w:szCs w:val="22"/>
        </w:rPr>
        <w:t>Then Sheilds resigned over pay, in a company running short of money. His replacement, the Scottish engineer James Wallace, insisted on returning to 4 feet 8½ inches, arguing that it performed just as well and was becoming the world standard. He was right on both counts. The New South Wales legislature accepted, reversed the earlier law in 1853, and notified the other colonies. But Victoria had already placed orders for locomotives and rolling stock in broad gauge, approved by Lieutenant-Governor Charles La Trobe in April 1853, and it petitioned London to block the New South Wales reversal. The Colonial Office declined to overrule either colony, consistent with its settled policy of letting self-governing colonies manage their internal affairs. Victoria opened its first line in 1854 in broad gauge. New South Wales opened Sydney–Parramatta in 1855 in standard gauge. South Australia, whose trade pointed toward Victoria, matched Victoria in 1856.</w:t>
      </w:r>
    </w:p>
    <w:p>
      <w:pPr>
        <w:spacing w:after="260"/>
      </w:pPr>
      <w:r>
        <w:rPr>
          <w:rFonts w:ascii="Georgia" w:cs="Georgia" w:eastAsia="Georgia" w:hAnsi="Georgia"/>
          <w:i/>
          <w:iCs/>
          <w:color w:val="6B6B6B"/>
          <w:sz w:val="18"/>
          <w:szCs w:val="18"/>
        </w:rPr>
        <w:t xml:space="preserve">Puffert (2009); Edwin Pratt, The State Railway Muddle in Australia (1912); appendix to 'The regional economic impacts of the railway gauge muddle in Australia,' Regional Studies (2023).</w:t>
      </w:r>
    </w:p>
    <w:p>
      <w:pPr>
        <w:pStyle w:val="Heading1"/>
        <w:spacing w:after="200" w:before="360"/>
      </w:pPr>
      <w:r>
        <w:rPr>
          <w:rFonts w:ascii="Georgia" w:cs="Georgia" w:eastAsia="Georgia" w:hAnsi="Georgia"/>
          <w:b/>
          <w:bCs/>
          <w:color w:val="1F3550"/>
          <w:sz w:val="28"/>
          <w:szCs w:val="28"/>
        </w:rPr>
        <w:t>The reasoning behind each choice</w:t>
      </w:r>
    </w:p>
    <w:p>
      <w:pPr>
        <w:spacing w:after="200" w:line="300"/>
        <w:jc w:val="left"/>
      </w:pPr>
      <w:r>
        <w:rPr>
          <w:rFonts w:ascii="Georgia" w:cs="Georgia" w:eastAsia="Georgia" w:hAnsi="Georgia"/>
          <w:b w:val="false"/>
          <w:bCs w:val="false"/>
          <w:i w:val="false"/>
          <w:iCs w:val="false"/>
          <w:color w:val="1A1A1A"/>
          <w:sz w:val="22"/>
          <w:szCs w:val="22"/>
        </w:rPr>
        <w:t>Each of these decisions was reasonable on its own terms. Wallace's technical judgment was correct. Standard gauge did become the world standard, and switching cost New South Wales almost nothing in 1853, when barely any track had been laid. Victoria's refusal to follow also made sense. Conforming meant cancelling and reordering equipment already bought with real money, to match a neighbor whose nearest railhead would be hundreds of miles away for decades. In 1853, Sydney and Melbourne were weeks apart by land. Railways were short lines linking each port to its own hinterland, built by separate governments on separate budgets, and there was no federal Australia until 1901. The two networks did not touch until 1883, thirty years later. Every responsible treasury heavily discounts a benefit thirty years out against a certain cost today.</w:t>
      </w:r>
    </w:p>
    <w:p>
      <w:pPr>
        <w:spacing w:after="200" w:line="300"/>
        <w:jc w:val="left"/>
      </w:pPr>
      <w:r>
        <w:rPr>
          <w:rFonts w:ascii="Georgia" w:cs="Georgia" w:eastAsia="Georgia" w:hAnsi="Georgia"/>
          <w:b w:val="false"/>
          <w:bCs w:val="false"/>
          <w:i w:val="false"/>
          <w:iCs w:val="false"/>
          <w:color w:val="1A1A1A"/>
          <w:sz w:val="22"/>
          <w:szCs w:val="22"/>
        </w:rPr>
        <w:t>Queensland's decision followed the same pattern. In 1863 its chief engineer, Abram Fitzgibbon, recommended an even narrower 3-foot-6-inch gauge for the new colony. It was substantially cheaper per mile, it suited rugged terrain, and a colony with a sparse population did not need high-capacity lines. Contemporary estimates for the mountain crossing from Ipswich toward Toowoomba put narrow gauge at roughly a quarter of the cost of standard gauge, though historians note that the true savings of narrow gauge were disputed then and remain so. Fitzgibbon's clinching argument was a candid one: uniformity in Australia was already dead, so Queensland was free to optimize for itself. The result was the world's first narrow-gauge main line, and it worked well enough that the approach was copied in Japan, New Zealand, and southern Africa.</w:t>
      </w:r>
    </w:p>
    <w:p>
      <w:pPr>
        <w:spacing w:after="260"/>
      </w:pPr>
      <w:r>
        <w:rPr>
          <w:rFonts w:ascii="Georgia" w:cs="Georgia" w:eastAsia="Georgia" w:hAnsi="Georgia"/>
          <w:i/>
          <w:iCs/>
          <w:color w:val="6B6B6B"/>
          <w:sz w:val="18"/>
          <w:szCs w:val="18"/>
        </w:rPr>
        <w:t xml:space="preserve">Puffert (2009); J. Kerr, Triumph of Narrow Gauge (1990); Regional Studies (2023) appendix.</w:t>
      </w:r>
    </w:p>
    <w:p>
      <w:pPr>
        <w:spacing w:after="200" w:line="300"/>
        <w:jc w:val="left"/>
      </w:pPr>
      <w:r>
        <w:rPr>
          <w:rFonts w:ascii="Georgia" w:cs="Georgia" w:eastAsia="Georgia" w:hAnsi="Georgia"/>
          <w:b w:val="false"/>
          <w:bCs w:val="false"/>
          <w:i w:val="false"/>
          <w:iCs w:val="false"/>
          <w:color w:val="1A1A1A"/>
          <w:sz w:val="22"/>
          <w:szCs w:val="22"/>
        </w:rPr>
        <w:t>The record shows no villain. An agreement existed, and then a resignation and a hiring decision flipped one colony back. Sunk equipment orders locked in another. The one authority that could have forced alignment declined on principled grounds, and the third gauge was chosen precisely because uniformity was already gone. The popular telling of squabbling colonies, blundering engineers, and a "fiasco" is the version specialists have specifically pushed back on. Puffert and others reconstruct the episode as a sequence of locally rational choices under uncertainty, made just before the window for cheap coordination closed.</w:t>
      </w:r>
    </w:p>
    <w:p>
      <w:pPr>
        <w:pStyle w:val="Heading1"/>
        <w:spacing w:after="200" w:before="360"/>
      </w:pPr>
      <w:r>
        <w:rPr>
          <w:rFonts w:ascii="Georgia" w:cs="Georgia" w:eastAsia="Georgia" w:hAnsi="Georgia"/>
          <w:b/>
          <w:bCs/>
          <w:color w:val="1F3550"/>
          <w:sz w:val="28"/>
          <w:szCs w:val="28"/>
        </w:rPr>
        <w:t>What the mismatch cost after 1883</w:t>
      </w:r>
    </w:p>
    <w:p>
      <w:pPr>
        <w:spacing w:after="200" w:line="300"/>
        <w:jc w:val="left"/>
      </w:pPr>
      <w:r>
        <w:rPr>
          <w:rFonts w:ascii="Georgia" w:cs="Georgia" w:eastAsia="Georgia" w:hAnsi="Georgia"/>
          <w:b w:val="false"/>
          <w:bCs w:val="false"/>
          <w:i w:val="false"/>
          <w:iCs w:val="false"/>
          <w:color w:val="1A1A1A"/>
          <w:sz w:val="22"/>
          <w:szCs w:val="22"/>
        </w:rPr>
        <w:t>The Sydney and Melbourne lines finally met at Albury, on the Murray River, on 14 June 1883. From that day, every passenger, mailbag, and ton of freight moving between the two largest colonies changed trains at the platform. During the Second World War, when men and munitions had to move across the continent, wartime accounts put roughly 1,600 men at work at the various break-of-gauge points, moving cargo between trains by hand. As late as the 1970s, the Bureau of Transport Economics found that a freight wagon took an average of 27 hours to pass through the wheel-swapping depot at Port Pirie, at a cost equivalent to hauling it an extra 100 kilometres.</w:t>
      </w:r>
    </w:p>
    <w:p>
      <w:pPr>
        <w:spacing w:after="260"/>
      </w:pPr>
      <w:r>
        <w:rPr>
          <w:rFonts w:ascii="Georgia" w:cs="Georgia" w:eastAsia="Georgia" w:hAnsi="Georgia"/>
          <w:i/>
          <w:iCs/>
          <w:color w:val="6B6B6B"/>
          <w:sz w:val="18"/>
          <w:szCs w:val="18"/>
        </w:rPr>
        <w:t xml:space="preserve">Regional Studies (2023), citing Bureau of Transport Economics (1977, 1979); Garry Reynolds, "The Railways Go to War" (RSL Queensland).</w:t>
      </w:r>
    </w:p>
    <w:p>
      <w:pPr>
        <w:spacing w:after="200" w:line="300"/>
        <w:jc w:val="left"/>
      </w:pPr>
      <w:r>
        <w:rPr>
          <w:rFonts w:ascii="Georgia" w:cs="Georgia" w:eastAsia="Georgia" w:hAnsi="Georgia"/>
          <w:b w:val="false"/>
          <w:bCs w:val="false"/>
          <w:i w:val="false"/>
          <w:iCs w:val="false"/>
          <w:color w:val="1A1A1A"/>
          <w:sz w:val="22"/>
          <w:szCs w:val="22"/>
        </w:rPr>
        <w:t>The fix took so long because the cost of unification grew with every mile of track laid, and the political will did not grow with it. A royal commission recommended standardization in 1921, and the Clapp report mapped out conversion in 1945. The first single-gauge Sydney–Melbourne link opened only in 1962, Sydney–Perth followed in 1970, and Melbourne–Adelaide was converted in 1995 at a cost of about A$160 million and opened by the prime minister. Even now Australia runs substantial networks on all three gauges.</w:t>
      </w:r>
    </w:p>
    <w:p>
      <w:pPr>
        <w:spacing w:after="260"/>
      </w:pPr>
      <w:r>
        <w:rPr>
          <w:rFonts w:ascii="Georgia" w:cs="Georgia" w:eastAsia="Georgia" w:hAnsi="Georgia"/>
          <w:i/>
          <w:iCs/>
          <w:color w:val="6B6B6B"/>
          <w:sz w:val="18"/>
          <w:szCs w:val="18"/>
        </w:rPr>
        <w:t xml:space="preserve">Report of the Royal Commission on Uniform Railway Gauge (1921); Rail Express, "20 years on: a pair of interstate milestones."</w:t>
      </w:r>
    </w:p>
    <w:p>
      <w:pPr>
        <w:spacing w:after="200" w:line="300"/>
        <w:jc w:val="left"/>
      </w:pPr>
      <w:r>
        <w:rPr>
          <w:rFonts w:ascii="Georgia" w:cs="Georgia" w:eastAsia="Georgia" w:hAnsi="Georgia"/>
          <w:b w:val="false"/>
          <w:bCs w:val="false"/>
          <w:i w:val="false"/>
          <w:iCs w:val="false"/>
          <w:color w:val="1A1A1A"/>
          <w:sz w:val="22"/>
          <w:szCs w:val="22"/>
        </w:rPr>
        <w:t>A further finding explains the delay better than inertia does. A 2023 econometric study in Regional Studies found that towns hosting a break-of-gauge boomed, with population and employment roughly 50 percent higher than in comparable towns for as long as the transfer operated. All that rehandling meant jobs, so the inefficiency had a constituency. Removing it meant visibly destroying livelihoods in particular towns to deliver diffuse savings to everyone else. That is a hard sell in any era, and it is a large part of why an 1853 misalignment was still being paid off in 1995.</w:t>
      </w:r>
    </w:p>
    <w:p>
      <w:pPr>
        <w:spacing w:after="260"/>
      </w:pPr>
      <w:r>
        <w:rPr>
          <w:rFonts w:ascii="Georgia" w:cs="Georgia" w:eastAsia="Georgia" w:hAnsi="Georgia"/>
          <w:i/>
          <w:iCs/>
          <w:color w:val="6B6B6B"/>
          <w:sz w:val="18"/>
          <w:szCs w:val="18"/>
        </w:rPr>
        <w:t xml:space="preserve">"The regional economic impacts of the railway gauge muddle in Australia," Regional Studies (2023).</w:t>
      </w:r>
    </w:p>
    <w:p>
      <w:pPr>
        <w:pStyle w:val="Heading1"/>
        <w:spacing w:after="200" w:before="360"/>
      </w:pPr>
      <w:r>
        <w:rPr>
          <w:rFonts w:ascii="Georgia" w:cs="Georgia" w:eastAsia="Georgia" w:hAnsi="Georgia"/>
          <w:b/>
          <w:bCs/>
          <w:color w:val="1F3550"/>
          <w:sz w:val="28"/>
          <w:szCs w:val="28"/>
        </w:rPr>
        <w:t xml:space="preserve">Takeaways</w:t>
      </w:r>
    </w:p>
    <w:p>
      <w:pPr>
        <w:spacing w:after="200" w:line="300"/>
        <w:jc w:val="left"/>
      </w:pPr>
      <w:r>
        <w:rPr>
          <w:rFonts w:ascii="Georgia" w:cs="Georgia" w:eastAsia="Georgia" w:hAnsi="Georgia"/>
          <w:b/>
          <w:bCs/>
          <w:i w:val="false"/>
          <w:iCs w:val="false"/>
          <w:color w:val="1A1A1A"/>
          <w:sz w:val="22"/>
          <w:szCs w:val="22"/>
        </w:rPr>
        <w:t>Why this matters:</w:t>
      </w:r>
      <w:r>
        <w:rPr>
          <w:rFonts w:ascii="Georgia" w:cs="Georgia" w:eastAsia="Georgia" w:hAnsi="Georgia"/>
          <w:b w:val="false"/>
          <w:bCs w:val="false"/>
          <w:i w:val="false"/>
          <w:iCs w:val="false"/>
          <w:color w:val="1A1A1A"/>
          <w:sz w:val="22"/>
          <w:szCs w:val="22"/>
        </w:rPr>
        <w:t xml:space="preserve"> compatibility disasters do not require a villain, and searching for one misreads how they happen. Each actor here optimized correctly for its own budget, geography, and time horizon, and the failure arose in the gaps between jurisdictions. The cost of standardizing rises with every mile built, while the benefit stays invisible until the networks actually touch, so coordination is cheapest at exactly the moment it looks pointless. In 1853 alignment would have cost one equipment order, and by 1883 it cost two entire networks.</w:t>
      </w:r>
    </w:p>
    <w:p>
      <w:pPr>
        <w:spacing w:after="200" w:line="300"/>
        <w:jc w:val="left"/>
      </w:pPr>
      <w:r>
        <w:rPr>
          <w:rFonts w:ascii="Georgia" w:cs="Georgia" w:eastAsia="Georgia" w:hAnsi="Georgia"/>
          <w:b/>
          <w:bCs/>
          <w:i w:val="false"/>
          <w:iCs w:val="false"/>
          <w:color w:val="1A1A1A"/>
          <w:sz w:val="22"/>
          <w:szCs w:val="22"/>
        </w:rPr>
        <w:t>What this means today:</w:t>
      </w:r>
      <w:r>
        <w:rPr>
          <w:rFonts w:ascii="Georgia" w:cs="Georgia" w:eastAsia="Georgia" w:hAnsi="Georgia"/>
          <w:b w:val="false"/>
          <w:bCs w:val="false"/>
          <w:i w:val="false"/>
          <w:iCs w:val="false"/>
          <w:color w:val="1A1A1A"/>
          <w:sz w:val="22"/>
          <w:szCs w:val="22"/>
        </w:rPr>
        <w:t xml:space="preserve"> the same structure governs data schemas, software platforms, charging standards, and procurement specs chosen independently by units that "will obviously never need to interoperate." The Albury platform is what a systems-integration project looks like thirty years after two teams each reasonably picked their own stack. The second effect carries over too. Interface friction creates its own defenders, because every inefficiency is someone's job, so expect the people staffing the workaround to resist the fix.</w:t>
      </w:r>
    </w:p>
    <w:p>
      <w:pPr>
        <w:spacing w:after="200" w:line="300"/>
        <w:jc w:val="left"/>
      </w:pPr>
      <w:r>
        <w:rPr>
          <w:rFonts w:ascii="Georgia" w:cs="Georgia" w:eastAsia="Georgia" w:hAnsi="Georgia"/>
          <w:b/>
          <w:bCs/>
          <w:i w:val="false"/>
          <w:iCs w:val="false"/>
          <w:color w:val="1A1A1A"/>
          <w:sz w:val="22"/>
          <w:szCs w:val="22"/>
        </w:rPr>
        <w:t>Where the lesson runs out:</w:t>
      </w:r>
      <w:r>
        <w:rPr>
          <w:rFonts w:ascii="Georgia" w:cs="Georgia" w:eastAsia="Georgia" w:hAnsi="Georgia"/>
          <w:b w:val="false"/>
          <w:bCs w:val="false"/>
          <w:i w:val="false"/>
          <w:iCs w:val="false"/>
          <w:color w:val="1A1A1A"/>
          <w:sz w:val="22"/>
          <w:szCs w:val="22"/>
        </w:rPr>
        <w:t xml:space="preserve"> early standardization is not always the right answer, because it can lock in the wrong choice. Queensland's narrow gauge may have been right for its terrain and budget, though historians still dispute how much it saved, and had the colony been forced onto standard gauge in 1863, it might have afforded no railway at all. The narrower point is that the option to standardize cheaply expires early, so it deserves deliberate attention while it still seems unnecessary. The lesson also transfers weakly where conversion stays cheap. Software migrations, unlike track, sometimes get cheaper over time, which weakens the trap.</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2026-08-15T19:10:30.142Z</dcterms:created>
  <dcterms:modified xsi:type="dcterms:W3CDTF">2026-08-15T19:10:30.142Z</dcterms:modified>
</cp:coreProperties>
</file>

<file path=docProps/custom.xml><?xml version="1.0" encoding="utf-8"?>
<Properties xmlns="http://schemas.openxmlformats.org/officeDocument/2006/custom-properties" xmlns:vt="http://schemas.openxmlformats.org/officeDocument/2006/docPropsVTypes"/>
</file>