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7233B"/>
          <w:sz w:val="44"/>
          <w:szCs w:val="44"/>
        </w:rPr>
        <w:t xml:space="preserve">The Verdict Came First, the Evidence Never Did</w:t>
      </w:r>
    </w:p>
    <w:p>
      <w:pPr>
        <w:pBdr>
          <w:bottom w:val="single" w:color="1F3864" w:sz="6" w:space="8"/>
        </w:pBdr>
        <w:spacing w:after="120"/>
      </w:pPr>
      <w:r>
        <w:rPr>
          <w:rFonts w:ascii="Georgia" w:cs="Georgia" w:eastAsia="Georgia" w:hAnsi="Georgia"/>
          <w:i/>
          <w:iCs/>
          <w:color w:val="595959"/>
          <w:sz w:val="22"/>
          <w:szCs w:val="22"/>
        </w:rPr>
        <w:t>How a defensible 1795 relief decision was condemned by a report written before the data arrived, and why that verdict steered welfare policy for two centuries</w:t>
      </w:r>
    </w:p>
    <w:p>
      <w:pPr>
        <w:spacing w:after="300"/>
      </w:pPr>
      <w:r>
        <w:rPr>
          <w:rFonts w:ascii="Georgia" w:cs="Georgia" w:eastAsia="Georgia" w:hAnsi="Georgia"/>
          <w:color w:val="808080"/>
          <w:sz w:val="18"/>
          <w:szCs w:val="18"/>
        </w:rPr>
        <w:t xml:space="preserve">Learnings from History — August 19, 2026</w:t>
      </w:r>
    </w:p>
    <w:p>
      <w:pPr>
        <w:spacing w:after="200" w:line="300"/>
        <w:jc w:val="both"/>
      </w:pPr>
      <w:r>
        <w:rPr>
          <w:rFonts w:ascii="Georgia" w:cs="Georgia" w:eastAsia="Georgia" w:hAnsi="Georgia"/>
          <w:sz w:val="23"/>
          <w:szCs w:val="23"/>
        </w:rPr>
        <w:t>In 1795 a group of English magistrates facing famine prices invented a wage top-up for farm laborers. Forty years later a royal commission declared their system a moral catastrophe, and that verdict shaped welfare policy in Britain and America for the next two centuries. The verdict was written before anyone looked at the evidence. When scholars finally did look, in the 1960s, the famous failure mostly wasn't there.</w:t>
      </w:r>
    </w:p>
    <w:p>
      <w:pPr>
        <w:pStyle w:val="Heading1"/>
        <w:spacing w:after="200" w:before="360"/>
      </w:pPr>
      <w:r>
        <w:rPr>
          <w:rFonts w:ascii="Georgia" w:cs="Georgia" w:eastAsia="Georgia" w:hAnsi="Georgia"/>
          <w:b/>
          <w:bCs/>
          <w:color w:val="1F3864"/>
          <w:sz w:val="30"/>
          <w:szCs w:val="30"/>
        </w:rPr>
        <w:t xml:space="preserve">A famine-year decision that was easy to defend</w:t>
      </w:r>
    </w:p>
    <w:p>
      <w:pPr>
        <w:spacing w:after="200" w:line="300"/>
        <w:jc w:val="both"/>
      </w:pPr>
      <w:r>
        <w:rPr>
          <w:rFonts w:ascii="Georgia" w:cs="Georgia" w:eastAsia="Georgia" w:hAnsi="Georgia"/>
          <w:sz w:val="23"/>
          <w:szCs w:val="23"/>
        </w:rPr>
        <w:t>On May 6, 1795, magistrates for Berkshire met at the Pelican Inn in Speenhamland, a district of Speen near Newbury. England was two years into war with revolutionary France, the 1794 harvest had failed, and the price of wheat had roughly doubled. Food riots were breaking out across the country, and every literate Englishman knew what hungry crowds had recently done in Paris. Farm wages had barely moved, and a laborer working full weeks could no longer feed his family.</w:t>
      </w:r>
    </w:p>
    <w:p>
      <w:pPr>
        <w:spacing w:after="240"/>
        <w:ind w:left="360"/>
      </w:pPr>
      <w:r>
        <w:rPr>
          <w:rFonts w:ascii="Georgia" w:cs="Georgia" w:eastAsia="Georgia" w:hAnsi="Georgia"/>
          <w:i w:val="false"/>
          <w:iCs w:val="false"/>
          <w:color w:val="595959"/>
          <w:sz w:val="19"/>
          <w:szCs w:val="19"/>
        </w:rPr>
        <w:t xml:space="preserve">Sources: the magistrates' resolution survives in the Berkshire Sessions records; the standard scholarly account is Mark Blaug, “The Myth of the Old Poor Law and the Making of the New,” </w:t>
      </w:r>
      <w:r>
        <w:rPr>
          <w:rFonts w:ascii="Georgia" w:cs="Georgia" w:eastAsia="Georgia" w:hAnsi="Georgia"/>
          <w:i w:val="false"/>
          <w:iCs w:val="false"/>
          <w:color w:val="595959"/>
          <w:sz w:val="19"/>
          <w:szCs w:val="19"/>
        </w:rPr>
        <w:t xml:space="preserve">Journal of Economic History</w:t>
      </w:r>
      <w:r>
        <w:rPr>
          <w:rFonts w:ascii="Georgia" w:cs="Georgia" w:eastAsia="Georgia" w:hAnsi="Georgia"/>
          <w:i w:val="false"/>
          <w:iCs w:val="false"/>
          <w:color w:val="595959"/>
          <w:sz w:val="19"/>
          <w:szCs w:val="19"/>
        </w:rPr>
        <w:t xml:space="preserve"> 23 (1963).</w:t>
      </w:r>
    </w:p>
    <w:p>
      <w:pPr>
        <w:spacing w:after="200" w:line="300"/>
        <w:jc w:val="both"/>
      </w:pPr>
      <w:r>
        <w:rPr>
          <w:rFonts w:ascii="Georgia" w:cs="Georgia" w:eastAsia="Georgia" w:hAnsi="Georgia"/>
          <w:sz w:val="23"/>
          <w:szCs w:val="23"/>
        </w:rPr>
        <w:t>The magistrates had a real choice, because an Elizabethan statute gave them the power to fix wages directly. They considered doing so and rejected it, since compelling every farmer to pay a set wage in a volatile wartime economy looked rigid and unenforceable. Later that year Samuel Whitbread proposed a national minimum wage for farm laborers in Parliament, and it failed, with Prime Minister Pitt speaking against it. The Berkshire magistrates chose a sliding subsidy instead. They defined a subsistence line as the price of three “gallon loaves” of bread a week for a man, each loaf about 8 pounds 11 ounces, plus one and a half loaves for each dependent. When a laborer's earnings fell below that line, the parish topped up the difference from local poor rates, and the subsidy rose automatically as bread prices rose.</w:t>
      </w:r>
    </w:p>
    <w:p>
      <w:pPr>
        <w:spacing w:after="200" w:line="300"/>
        <w:jc w:val="both"/>
      </w:pPr>
      <w:r>
        <w:rPr>
          <w:rFonts w:ascii="Georgia" w:cs="Georgia" w:eastAsia="Georgia" w:hAnsi="Georgia"/>
          <w:sz w:val="23"/>
          <w:szCs w:val="23"/>
        </w:rPr>
        <w:t>Judged from inside 1795, this was a sensible design. It was fast, it was aimed at the actual problem (bread prices, not wages), it adjusted itself, and it ran through parish poor relief, an administrative machine that had existed since 1601. It never became a statute. As a local practice it spread across the grain-growing counties of southern England, because magistrates and farmers elsewhere faced the same emergency and reached for the same tool.</w:t>
      </w:r>
    </w:p>
    <w:p>
      <w:pPr>
        <w:pStyle w:val="Heading1"/>
        <w:spacing w:after="200" w:before="360"/>
      </w:pPr>
      <w:r>
        <w:rPr>
          <w:rFonts w:ascii="Georgia" w:cs="Georgia" w:eastAsia="Georgia" w:hAnsi="Georgia"/>
          <w:b/>
          <w:bCs/>
          <w:color w:val="1F3864"/>
          <w:sz w:val="30"/>
          <w:szCs w:val="30"/>
        </w:rPr>
        <w:t xml:space="preserve">How a stopgap became the villain of English history</w:t>
      </w:r>
    </w:p>
    <w:p>
      <w:pPr>
        <w:spacing w:after="200" w:line="300"/>
        <w:jc w:val="both"/>
      </w:pPr>
      <w:r>
        <w:rPr>
          <w:rFonts w:ascii="Georgia" w:cs="Georgia" w:eastAsia="Georgia" w:hAnsi="Georgia"/>
          <w:sz w:val="23"/>
          <w:szCs w:val="23"/>
        </w:rPr>
        <w:t>Over the next four decades, poor-relief spending rose steeply, peaking after the postwar slump of 1817–19. Malthus argued that subsidizing families encouraged the poor to breed, and Ricardo argued that wage subsidies let employers cut wages. In 1832 the government appointed a Royal Commission to investigate, with the economist Nassau Senior and the reformer Edwin Chadwick as its driving figures. Its 1834 Report is one of the most consequential policy documents in British history. It concluded that the allowance system had demoralized the laborer, depressed wages, inflated the poor rates, and turned independent workers into permanent paupers. Parliament responded within months. The Poor Law Amendment Act of 1834 abolished outdoor relief for the able-bodied in principle and pushed the destitute into workhouses deliberately made grimmer than the worst independent life outside, under the doctrine of “less eligibility.” That regime, softened but never repudiated, lasted until 1948.</w:t>
      </w:r>
    </w:p>
    <w:p>
      <w:pPr>
        <w:spacing w:after="200" w:line="300"/>
        <w:jc w:val="both"/>
      </w:pPr>
      <w:r>
        <w:rPr>
          <w:rFonts w:ascii="Georgia" w:cs="Georgia" w:eastAsia="Georgia" w:hAnsi="Georgia"/>
          <w:sz w:val="23"/>
          <w:szCs w:val="23"/>
        </w:rPr>
        <w:t>The Commission circulated detailed questionnaires, the Rural and Town Queries, to parishes across England and Wales, and only around 10 percent of parishes replied. The replies were never tabulated or systematically analyzed. They were mined for vivid quotations. Blaug, who went back through the material in the 1960s, concluded that the Report's conclusions were substantially formed before the evidence came in, and the historians Fred Block and Margaret Somers describe the 1834 Report as an exercise in confirming a diagnosis the commissioners already held. Senior and Chadwick were confident men working from the best economic theory of their day, which told them what a wage subsidy must do, and by their own lights they were neither fools nor liars. They did not feel much need to check.</w:t>
      </w:r>
    </w:p>
    <w:p>
      <w:pPr>
        <w:spacing w:after="240"/>
        <w:ind w:left="360"/>
      </w:pPr>
      <w:r>
        <w:rPr>
          <w:rFonts w:ascii="Georgia" w:cs="Georgia" w:eastAsia="Georgia" w:hAnsi="Georgia"/>
          <w:i w:val="false"/>
          <w:iCs w:val="false"/>
          <w:color w:val="595959"/>
          <w:sz w:val="19"/>
          <w:szCs w:val="19"/>
        </w:rPr>
        <w:t xml:space="preserve">Sources: Mark Blaug, “The Poor Law Report Reexamined,” </w:t>
      </w:r>
      <w:r>
        <w:rPr>
          <w:rFonts w:ascii="Georgia" w:cs="Georgia" w:eastAsia="Georgia" w:hAnsi="Georgia"/>
          <w:i w:val="false"/>
          <w:iCs w:val="false"/>
          <w:color w:val="595959"/>
          <w:sz w:val="19"/>
          <w:szCs w:val="19"/>
        </w:rPr>
        <w:t xml:space="preserve">Journal of Economic History</w:t>
      </w:r>
      <w:r>
        <w:rPr>
          <w:rFonts w:ascii="Georgia" w:cs="Georgia" w:eastAsia="Georgia" w:hAnsi="Georgia"/>
          <w:i w:val="false"/>
          <w:iCs w:val="false"/>
          <w:color w:val="595959"/>
          <w:sz w:val="19"/>
          <w:szCs w:val="19"/>
        </w:rPr>
        <w:t xml:space="preserve"> 24 (1964); Fred Block and Margaret Somers, “In the Shadow of Speenhamland: Social Policy and the Old Poor Law,” </w:t>
      </w:r>
      <w:r>
        <w:rPr>
          <w:rFonts w:ascii="Georgia" w:cs="Georgia" w:eastAsia="Georgia" w:hAnsi="Georgia"/>
          <w:i w:val="false"/>
          <w:iCs w:val="false"/>
          <w:color w:val="595959"/>
          <w:sz w:val="19"/>
          <w:szCs w:val="19"/>
        </w:rPr>
        <w:t xml:space="preserve">Politics &amp; Society</w:t>
      </w:r>
      <w:r>
        <w:rPr>
          <w:rFonts w:ascii="Georgia" w:cs="Georgia" w:eastAsia="Georgia" w:hAnsi="Georgia"/>
          <w:i w:val="false"/>
          <w:iCs w:val="false"/>
          <w:color w:val="595959"/>
          <w:sz w:val="19"/>
          <w:szCs w:val="19"/>
        </w:rPr>
        <w:t xml:space="preserve"> 31 (2003).</w:t>
      </w:r>
    </w:p>
    <w:p>
      <w:pPr>
        <w:pStyle w:val="Heading1"/>
        <w:spacing w:after="200" w:before="360"/>
      </w:pPr>
      <w:r>
        <w:rPr>
          <w:rFonts w:ascii="Georgia" w:cs="Georgia" w:eastAsia="Georgia" w:hAnsi="Georgia"/>
          <w:b/>
          <w:bCs/>
          <w:color w:val="1F3864"/>
          <w:sz w:val="30"/>
          <w:szCs w:val="30"/>
        </w:rPr>
        <w:t xml:space="preserve">What the revisionists found when they finally read the data</w:t>
      </w:r>
    </w:p>
    <w:p>
      <w:pPr>
        <w:spacing w:after="200" w:line="300"/>
        <w:jc w:val="both"/>
      </w:pPr>
      <w:r>
        <w:rPr>
          <w:rFonts w:ascii="Georgia" w:cs="Georgia" w:eastAsia="Georgia" w:hAnsi="Georgia"/>
          <w:sz w:val="23"/>
          <w:szCs w:val="23"/>
        </w:rPr>
        <w:t>The causal story fell apart when economic historians reworked the evidence, Blaug in the 1960s and George Boyer in a fuller econometric study in 1990. Pauperism was heaviest in low-wage grain counties whether or not they used bread scales, and relief spending tracked wheat prices and rural unemployment rather than the presence of allowances. Much of the “allowance system” was actually child allowances and relief for men who could not find winter work in an economy of intensely seasonal grain farming. In Boyer's reconstruction, allowances were a rational way for farming parishes to keep a seasonal labor force alive through the off-season, with costs spread across all ratepayers. Most parishes had also abandoned the wage-supplement scales, largely during the 1820s, before the Commission investigated in 1832. The 1834 Report condemned a system that was already mostly gone, for effects the data do not show it caused.</w:t>
      </w:r>
    </w:p>
    <w:p>
      <w:pPr>
        <w:spacing w:after="240"/>
        <w:ind w:left="360"/>
      </w:pPr>
      <w:r>
        <w:rPr>
          <w:rFonts w:ascii="Georgia" w:cs="Georgia" w:eastAsia="Georgia" w:hAnsi="Georgia"/>
          <w:i w:val="false"/>
          <w:iCs w:val="false"/>
          <w:color w:val="595959"/>
          <w:sz w:val="19"/>
          <w:szCs w:val="19"/>
        </w:rPr>
        <w:t xml:space="preserve">Sources: George Boyer, </w:t>
      </w:r>
      <w:r>
        <w:rPr>
          <w:rFonts w:ascii="Georgia" w:cs="Georgia" w:eastAsia="Georgia" w:hAnsi="Georgia"/>
          <w:i w:val="false"/>
          <w:iCs w:val="false"/>
          <w:color w:val="595959"/>
          <w:sz w:val="19"/>
          <w:szCs w:val="19"/>
        </w:rPr>
        <w:t xml:space="preserve">An Economic History of the English Poor Law, 1750–1850</w:t>
      </w:r>
      <w:r>
        <w:rPr>
          <w:rFonts w:ascii="Georgia" w:cs="Georgia" w:eastAsia="Georgia" w:hAnsi="Georgia"/>
          <w:i w:val="false"/>
          <w:iCs w:val="false"/>
          <w:color w:val="595959"/>
          <w:sz w:val="19"/>
          <w:szCs w:val="19"/>
        </w:rPr>
        <w:t xml:space="preserve"> (Cambridge University Press, 1990); Blaug (1963).</w:t>
      </w:r>
    </w:p>
    <w:p>
      <w:pPr>
        <w:spacing w:after="200" w:line="300"/>
        <w:jc w:val="both"/>
      </w:pPr>
      <w:r>
        <w:rPr>
          <w:rFonts w:ascii="Georgia" w:cs="Georgia" w:eastAsia="Georgia" w:hAnsi="Georgia"/>
          <w:sz w:val="23"/>
          <w:szCs w:val="23"/>
        </w:rPr>
        <w:t>Wages in the rural south really were miserable, and relief bills really did rise. Both facts are established. What the scholarship overturned is the direction of cause. Population growth, enclosure, the collapse of cottage industry, and postwar agricultural depression drove the misery, and the allowances were a response to it. That is now the broad consensus among specialists, though historians still argue about how much, at the margin, generous relief affected wages and family size in particular parishes.</w:t>
      </w:r>
    </w:p>
    <w:p>
      <w:pPr>
        <w:pStyle w:val="Heading1"/>
        <w:spacing w:after="200" w:before="360"/>
      </w:pPr>
      <w:r>
        <w:rPr>
          <w:rFonts w:ascii="Georgia" w:cs="Georgia" w:eastAsia="Georgia" w:hAnsi="Georgia"/>
          <w:b/>
          <w:bCs/>
          <w:color w:val="1F3864"/>
          <w:sz w:val="30"/>
          <w:szCs w:val="30"/>
        </w:rPr>
        <w:t xml:space="preserve">The myth outlived the system by two centuries</w:t>
      </w:r>
    </w:p>
    <w:p>
      <w:pPr>
        <w:spacing w:after="200" w:line="300"/>
        <w:jc w:val="both"/>
      </w:pPr>
      <w:r>
        <w:rPr>
          <w:rFonts w:ascii="Georgia" w:cs="Georgia" w:eastAsia="Georgia" w:hAnsi="Georgia"/>
          <w:sz w:val="23"/>
          <w:szCs w:val="23"/>
        </w:rPr>
        <w:t xml:space="preserve">The 1834 verdict became the reference case for what welfare does to the poor. Its most influential twentieth-century carrier was Karl Polanyi, whose 1944 classic </w:t>
      </w:r>
      <w:r>
        <w:rPr>
          <w:rFonts w:ascii="Georgia" w:cs="Georgia" w:eastAsia="Georgia" w:hAnsi="Georgia"/>
          <w:i/>
          <w:iCs/>
          <w:sz w:val="23"/>
          <w:szCs w:val="23"/>
        </w:rPr>
        <w:t>The Great Transformation</w:t>
      </w:r>
      <w:r>
        <w:rPr>
          <w:rFonts w:ascii="Georgia" w:cs="Georgia" w:eastAsia="Georgia" w:hAnsi="Georgia"/>
          <w:sz w:val="23"/>
          <w:szCs w:val="23"/>
        </w:rPr>
        <w:t xml:space="preserve"> put Speenhamland at the center of its story. The “right to live,” Polanyi argued, had degraded workers and depressed wages until its abolition. He was relying on the 1834 Report's picture, which he took as fact.</w:t>
      </w:r>
    </w:p>
    <w:p>
      <w:pPr>
        <w:spacing w:after="200" w:line="300"/>
        <w:jc w:val="both"/>
      </w:pPr>
      <w:r>
        <w:rPr>
          <w:rFonts w:ascii="Georgia" w:cs="Georgia" w:eastAsia="Georgia" w:hAnsi="Georgia"/>
          <w:sz w:val="23"/>
          <w:szCs w:val="23"/>
        </w:rPr>
        <w:t>The strangest afterlife came in April 1969, in the White House. Nixon was preparing his Family Assistance Plan, a guaranteed minimum income for families drafted with Daniel Patrick Moynihan, when the economist Martin Anderson circulated a memo titled “A Short History of a 'Family Security System,'” consisting of excerpts from Polanyi's Speenhamland chapter. The memo's implication was that income floors become income ceilings and immiserate the poor. By Moynihan's account, Nixon was shaken enough to order a staff review of the history, and he thereafter insisted that the plan carry work requirements. The plan passed the House twice and died in the Senate Finance Committee. A 1795 emergency measure, misjudged in 1834, was still setting the terms of American welfare debate 175 years later, and it still surfaces whenever basic income or wage subsidies are discussed.</w:t>
      </w:r>
    </w:p>
    <w:p>
      <w:pPr>
        <w:spacing w:after="240"/>
        <w:ind w:left="360"/>
      </w:pPr>
      <w:r>
        <w:rPr>
          <w:rFonts w:ascii="Georgia" w:cs="Georgia" w:eastAsia="Georgia" w:hAnsi="Georgia"/>
          <w:i w:val="false"/>
          <w:iCs w:val="false"/>
          <w:color w:val="595959"/>
          <w:sz w:val="19"/>
          <w:szCs w:val="19"/>
        </w:rPr>
        <w:t xml:space="preserve">Sources: Block and Somers (2003); Daniel Patrick Moynihan, </w:t>
      </w:r>
      <w:r>
        <w:rPr>
          <w:rFonts w:ascii="Georgia" w:cs="Georgia" w:eastAsia="Georgia" w:hAnsi="Georgia"/>
          <w:i w:val="false"/>
          <w:iCs w:val="false"/>
          <w:color w:val="595959"/>
          <w:sz w:val="19"/>
          <w:szCs w:val="19"/>
        </w:rPr>
        <w:t xml:space="preserve">The Politics of a Guaranteed Income</w:t>
      </w:r>
      <w:r>
        <w:rPr>
          <w:rFonts w:ascii="Georgia" w:cs="Georgia" w:eastAsia="Georgia" w:hAnsi="Georgia"/>
          <w:i w:val="false"/>
          <w:iCs w:val="false"/>
          <w:color w:val="595959"/>
          <w:sz w:val="19"/>
          <w:szCs w:val="19"/>
        </w:rPr>
        <w:t xml:space="preserve"> (1973).</w:t>
      </w:r>
    </w:p>
    <w:p>
      <w:pPr>
        <w:pStyle w:val="Heading1"/>
        <w:spacing w:after="200" w:before="360"/>
      </w:pPr>
      <w:r>
        <w:rPr>
          <w:rFonts w:ascii="Georgia" w:cs="Georgia" w:eastAsia="Georgia" w:hAnsi="Georgia"/>
          <w:b/>
          <w:bCs/>
          <w:color w:val="1F3864"/>
          <w:sz w:val="30"/>
          <w:szCs w:val="30"/>
        </w:rPr>
        <w:t xml:space="preserve">Takeaways</w:t>
      </w:r>
    </w:p>
    <w:p>
      <w:pPr>
        <w:spacing w:after="200" w:line="300"/>
        <w:jc w:val="both"/>
      </w:pPr>
      <w:r>
        <w:rPr>
          <w:rFonts w:ascii="Georgia" w:cs="Georgia" w:eastAsia="Georgia" w:hAnsi="Georgia"/>
          <w:b/>
          <w:bCs/>
          <w:sz w:val="23"/>
          <w:szCs w:val="23"/>
        </w:rPr>
        <w:t>Why this matters:</w:t>
      </w:r>
      <w:r>
        <w:rPr>
          <w:rFonts w:ascii="Georgia" w:cs="Georgia" w:eastAsia="Georgia" w:hAnsi="Georgia"/>
          <w:sz w:val="23"/>
          <w:szCs w:val="23"/>
        </w:rPr>
        <w:t xml:space="preserve"> The Speenhamland decision itself was defensible. It was a fast, adaptive, well-targeted response to famine prices, chosen over a wage floor that Parliament rejected months later. The lasting damage came from the evaluation rather than the policy. A confident commission with a theory, loaded questions, a 10 percent response rate, and no tabulation produced a verdict that governed British relief for 114 years and echoed into American politics. A bad evaluation can have larger consequences than the policy it judges.</w:t>
      </w:r>
    </w:p>
    <w:p>
      <w:pPr>
        <w:spacing w:after="200" w:line="300"/>
        <w:jc w:val="both"/>
      </w:pPr>
      <w:r>
        <w:rPr>
          <w:rFonts w:ascii="Georgia" w:cs="Georgia" w:eastAsia="Georgia" w:hAnsi="Georgia"/>
          <w:b/>
          <w:bCs/>
          <w:sz w:val="23"/>
          <w:szCs w:val="23"/>
        </w:rPr>
        <w:t>What this means today:</w:t>
      </w:r>
      <w:r>
        <w:rPr>
          <w:rFonts w:ascii="Georgia" w:cs="Georgia" w:eastAsia="Georgia" w:hAnsi="Georgia"/>
          <w:sz w:val="23"/>
          <w:szCs w:val="23"/>
        </w:rPr>
        <w:t xml:space="preserve"> When a program evaluation confirms exactly what its authors' theory predicted, ask when the conclusions were drafted relative to the data, and whether the data was analyzed or merely quoted. The same structural argument, that subsidies to workers become subsidies to employers, is debated today about the Earned Income Tax Credit. The answer there, as at Speenhamland, depends on careful measurement rather than on how confident the theory is.</w:t>
      </w:r>
    </w:p>
    <w:p>
      <w:pPr>
        <w:spacing w:after="200" w:line="300"/>
        <w:jc w:val="both"/>
      </w:pPr>
      <w:r>
        <w:rPr>
          <w:rFonts w:ascii="Georgia" w:cs="Georgia" w:eastAsia="Georgia" w:hAnsi="Georgia"/>
          <w:b/>
          <w:bCs/>
          <w:sz w:val="23"/>
          <w:szCs w:val="23"/>
        </w:rPr>
        <w:t>Where the lesson runs out:</w:t>
      </w:r>
      <w:r>
        <w:rPr>
          <w:rFonts w:ascii="Georgia" w:cs="Georgia" w:eastAsia="Georgia" w:hAnsi="Georgia"/>
          <w:sz w:val="23"/>
          <w:szCs w:val="23"/>
        </w:rPr>
        <w:t xml:space="preserve"> This is not evidence that wage subsidies are harmless. Economists have found real, if partial, employer capture of modern wage subsidies under some conditions. Speenhamland shows that the classic case </w:t>
      </w:r>
      <w:r>
        <w:rPr>
          <w:rFonts w:ascii="Georgia" w:cs="Georgia" w:eastAsia="Georgia" w:hAnsi="Georgia"/>
          <w:i/>
          <w:iCs/>
          <w:sz w:val="23"/>
          <w:szCs w:val="23"/>
        </w:rPr>
        <w:t>against</w:t>
      </w:r>
      <w:r>
        <w:rPr>
          <w:rFonts w:ascii="Georgia" w:cs="Georgia" w:eastAsia="Georgia" w:hAnsi="Georgia"/>
          <w:sz w:val="23"/>
          <w:szCs w:val="23"/>
        </w:rPr>
        <w:t xml:space="preserve"> them was manufactured, which does not make the mechanism imaginary. The lesson concerns the standard of proof, not the direction of the answer.</w:t>
      </w:r>
    </w:p>
    <w:p>
      <w:pPr>
        <w:spacing w:after="200" w:line="300"/>
        <w:jc w:val="both"/>
      </w:pPr>
      <w:r>
        <w:rPr>
          <w:rFonts w:ascii="Georgia" w:cs="Georgia" w:eastAsia="Georgia" w:hAnsi="Georgia"/>
          <w:b/>
          <w:bCs/>
          <w:sz w:val="23"/>
          <w:szCs w:val="23"/>
        </w:rPr>
        <w:t>Who this is most useful for:</w:t>
      </w:r>
      <w:r>
        <w:rPr>
          <w:rFonts w:ascii="Georgia" w:cs="Georgia" w:eastAsia="Georgia" w:hAnsi="Georgia"/>
          <w:sz w:val="23"/>
          <w:szCs w:val="23"/>
        </w:rPr>
        <w:t xml:space="preserve"> Anyone who commissions, writes, or uses program evaluations, and anyone tempted to cite a famous historical failure in a policy argument. If a historical episode fits your theory perfectly, check whether you are holding the 1834 version of it rather than the archive.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2026-08-19T19:08:46.247Z</dcterms:created>
  <dcterms:modified xsi:type="dcterms:W3CDTF">2026-08-19T19:08:46.247Z</dcterms:modified>
</cp:coreProperties>
</file>

<file path=docProps/custom.xml><?xml version="1.0" encoding="utf-8"?>
<Properties xmlns="http://schemas.openxmlformats.org/officeDocument/2006/custom-properties" xmlns:vt="http://schemas.openxmlformats.org/officeDocument/2006/docPropsVTypes"/>
</file>