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44"/>
          <w:szCs w:val="44"/>
        </w:rPr>
        <w:t xml:space="preserve">The Boom Ended, but the Debt Didn't</w:t>
      </w:r>
    </w:p>
    <w:p>
      <w:pPr>
        <w:spacing w:after="60"/>
      </w:pPr>
      <w:r>
        <w:rPr>
          <w:rFonts w:ascii="Georgia" w:cs="Georgia" w:eastAsia="Georgia" w:hAnsi="Georgia"/>
          <w:i/>
          <w:iCs/>
          <w:color w:val="444444"/>
          <w:sz w:val="24"/>
          <w:szCs w:val="24"/>
        </w:rPr>
        <w:t xml:space="preserve">How Egypt's cotton windfall of the 1860s became a bankruptcy, and then an occupation</w:t>
      </w:r>
    </w:p>
    <w:p>
      <w:pPr>
        <w:pBdr>
          <w:bottom w:val="single" w:color="999999" w:sz="6"/>
        </w:pBdr>
        <w:spacing w:after="300"/>
      </w:pPr>
      <w:r>
        <w:rPr>
          <w:rFonts w:ascii="Georgia" w:cs="Georgia" w:eastAsia="Georgia" w:hAnsi="Georgia"/>
          <w:color w:val="888888"/>
          <w:sz w:val="18"/>
          <w:szCs w:val="18"/>
        </w:rPr>
        <w:t xml:space="preserve">Learnings from History — September 4, 2026</w:t>
      </w:r>
    </w:p>
    <w:p>
      <w:pPr>
        <w:spacing w:after="200" w:line="300"/>
        <w:jc w:val="left"/>
      </w:pPr>
      <w:r>
        <w:rPr>
          <w:rFonts w:ascii="Georgia" w:cs="Georgia" w:eastAsia="Georgia" w:hAnsi="Georgia"/>
          <w:sz w:val="22"/>
          <w:szCs w:val="22"/>
        </w:rPr>
        <w:t>In 1861 the American Civil War cut the world's textile mills off from their main source of cotton, and Egypt, one of the few places that grew a comparable fiber, watched the price of its chief export roughly quadruple. Egypt's ruler borrowed heavily against that windfall to modernize the country. Fifteen years later Egypt was bankrupt, and within twenty-one it was occupied by Britain. Much of the borrowing looked sensible while it was happening, to the lenders as much as to the borrower.</w:t>
      </w:r>
    </w:p>
    <w:p>
      <w:pPr>
        <w:pStyle w:val="Heading1"/>
        <w:spacing w:after="160" w:before="360"/>
      </w:pPr>
      <w:r>
        <w:rPr>
          <w:rFonts w:ascii="Georgia" w:cs="Georgia" w:eastAsia="Georgia" w:hAnsi="Georgia"/>
          <w:b/>
          <w:bCs/>
          <w:color w:val="1A1A1A"/>
          <w:sz w:val="28"/>
          <w:szCs w:val="28"/>
        </w:rPr>
        <w:t xml:space="preserve">The Windfall Looked Like a Future</w:t>
      </w:r>
    </w:p>
    <w:p>
      <w:pPr>
        <w:spacing w:after="200" w:line="300"/>
        <w:jc w:val="left"/>
      </w:pPr>
      <w:r>
        <w:rPr>
          <w:rFonts w:ascii="Georgia" w:cs="Georgia" w:eastAsia="Georgia" w:hAnsi="Georgia"/>
          <w:sz w:val="22"/>
          <w:szCs w:val="22"/>
        </w:rPr>
        <w:t xml:space="preserve">Egypt in the 1860s was legally an Ottoman province but effectively a hereditary monarchy under the dynasty of Muhammad Ali, who had introduced long-staple cotton to the Nile Delta in 1820. Long-staple cotton spins into a finer, stronger thread than the ordinary kind, so Egyptian cotton always sold at a premium. When the Union blockade choked off Southern exports, Lancashire's mills turned to Egypt. Exports rose from about 600,000 cantars in 1861 (a cantar is roughly 45 kilograms) to about 2 million in 1865, while the price per cantar rose from around $12 in 1859 to around $45 in 1864. Money flooded the Delta.</w:t>
      </w:r>
    </w:p>
    <w:p>
      <w:pPr>
        <w:spacing w:after="260"/>
        <w:ind w:left="360"/>
      </w:pPr>
      <w:r>
        <w:rPr>
          <w:rFonts w:ascii="Georgia" w:cs="Georgia" w:eastAsia="Georgia" w:hAnsi="Georgia"/>
          <w:i/>
          <w:iCs/>
          <w:color w:val="6B6B6B"/>
          <w:sz w:val="17"/>
          <w:szCs w:val="17"/>
        </w:rPr>
        <w:t xml:space="preserve">Roger Owen, Cotton and the Egyptian Economy, 1820–1914 (1969); Smithsonian Magazine, "How the American Civil War Built Egypt's Vaunted Cotton Industry" (2016).</w:t>
      </w:r>
    </w:p>
    <w:p>
      <w:pPr>
        <w:spacing w:after="200" w:line="300"/>
        <w:jc w:val="left"/>
      </w:pPr>
      <w:r>
        <w:rPr>
          <w:rFonts w:ascii="Georgia" w:cs="Georgia" w:eastAsia="Georgia" w:hAnsi="Georgia"/>
          <w:sz w:val="22"/>
          <w:szCs w:val="22"/>
        </w:rPr>
        <w:t>The khedive Ismail, who took power in 1863, was acting on what informed opinion in Europe expected. That opinion held that American cotton was finished: the plantation system was being destroyed, and it was widely believed that cotton could not be grown profitably with free labor. Serious people thought so. If they were right, high prices were a new baseline rather than a spike, and Egypt's moment had arrived. Ismail spent accordingly, on irrigation canals that watered the Delta year-round, railways, a rebuilt Alexandria harbor, and telegraphs, and on the crushing obligations his predecessor had signed on to for the Suez Canal. He also spent on palaces, wars in Sudan and Ethiopia, and a spectacularly lavish canal opening in 1869. Still, a real part of the spending raised capacity. Egypt's cotton exports stayed far above their prewar volume even after prices collapsed.</w:t>
      </w:r>
    </w:p>
    <w:p>
      <w:pPr>
        <w:spacing w:after="260"/>
        <w:ind w:left="360"/>
      </w:pPr>
      <w:r>
        <w:rPr>
          <w:rFonts w:ascii="Georgia" w:cs="Georgia" w:eastAsia="Georgia" w:hAnsi="Georgia"/>
          <w:i/>
          <w:iCs/>
          <w:color w:val="6B6B6B"/>
          <w:sz w:val="17"/>
          <w:szCs w:val="17"/>
        </w:rPr>
        <w:t xml:space="preserve">Sven Beckert, Empire of Cotton (2014), on contemporary expectations about free-labor cotton; Owen (1969) on irrigation and export volumes.</w:t>
      </w:r>
    </w:p>
    <w:p>
      <w:pPr>
        <w:pStyle w:val="Heading1"/>
        <w:spacing w:after="160" w:before="360"/>
      </w:pPr>
      <w:r>
        <w:rPr>
          <w:rFonts w:ascii="Georgia" w:cs="Georgia" w:eastAsia="Georgia" w:hAnsi="Georgia"/>
          <w:b/>
          <w:bCs/>
          <w:color w:val="1A1A1A"/>
          <w:sz w:val="28"/>
          <w:szCs w:val="28"/>
        </w:rPr>
        <w:t xml:space="preserve">The Loans Were Priced Against the Peak</w:t>
      </w:r>
    </w:p>
    <w:p>
      <w:pPr>
        <w:spacing w:after="200" w:line="300"/>
        <w:jc w:val="left"/>
      </w:pPr>
      <w:r>
        <w:rPr>
          <w:rFonts w:ascii="Georgia" w:cs="Georgia" w:eastAsia="Georgia" w:hAnsi="Georgia"/>
          <w:sz w:val="22"/>
          <w:szCs w:val="22"/>
        </w:rPr>
        <w:t>The terms of the borrowing mattered as much as its size. Egypt's first state loan, in 1862, had a face value of £3.3 million but was issued at 83.5 percent of face. Egypt received about £2.75 million before bankers' fees and owed interest on the full amount, an effective rate of 8.4 percent. The pattern repeated and got worse. The 1868 loan of £11.9 million was issued at 75 percent of face, an effective 9.6 percent, and the giant 1873 loan of £32 million went out at 79. Each was secured on specific revenues: the taxes of named Delta provinces, the railways, customs, the salt tax, even the khedive's personal estates. By the early 1870s new borrowing went mostly to service old borrowing.</w:t>
      </w:r>
    </w:p>
    <w:p>
      <w:pPr>
        <w:spacing w:after="260"/>
        <w:ind w:left="360"/>
      </w:pPr>
      <w:r>
        <w:rPr>
          <w:rFonts w:ascii="Georgia" w:cs="Georgia" w:eastAsia="Georgia" w:hAnsi="Georgia"/>
          <w:i/>
          <w:iCs/>
          <w:color w:val="6B6B6B"/>
          <w:sz w:val="17"/>
          <w:szCs w:val="17"/>
        </w:rPr>
        <w:t xml:space="preserve">Loan-by-loan terms from Ali Coşkun Tunçer, Sovereign Debt and International Financial Control: The Middle East and the Balkans, 1870–1914 (2015), ch. 3, table 3.1.</w:t>
      </w:r>
    </w:p>
    <w:p>
      <w:pPr>
        <w:spacing w:after="200" w:line="300"/>
        <w:jc w:val="left"/>
      </w:pPr>
      <w:r>
        <w:rPr>
          <w:rFonts w:ascii="Georgia" w:cs="Georgia" w:eastAsia="Georgia" w:hAnsi="Georgia"/>
          <w:sz w:val="22"/>
          <w:szCs w:val="22"/>
        </w:rPr>
        <w:t>Then the premise failed. The war ended in 1865, prices fell, and against nearly all expectations American cotton came back under sharecropping during the 1870s and reclaimed its markets. Egypt's revenue baseline reverted toward normal, but its debt service, fixed in sterling at boom-era rates, did not. Egypt also could not raise its revenue to compensate. Ottoman commercial treaties capped its tariffs, the legal privileges known as the capitulations largely exempted resident Europeans from taxation, and the land tax on the peasantry, about £4.8 million a year, was already the main source of revenue and already harsh. The government turned to desperate measures. The Moukabala law of 1871 offered landowners a permanent 50 percent cut in their land tax if they prepaid six years of it. In effect it was a domestic loan at about 9 percent that mortgaged half of the country's principal tax forever, and it raised only £9.9 million in its first three years. In November 1875 Ismail sold Egypt's 45 percent holding in the Suez Canal Company to the British government for about £4 million.</w:t>
      </w:r>
    </w:p>
    <w:p>
      <w:pPr>
        <w:spacing w:after="260"/>
        <w:ind w:left="360"/>
      </w:pPr>
      <w:r>
        <w:rPr>
          <w:rFonts w:ascii="Georgia" w:cs="Georgia" w:eastAsia="Georgia" w:hAnsi="Georgia"/>
          <w:i/>
          <w:iCs/>
          <w:color w:val="6B6B6B"/>
          <w:sz w:val="17"/>
          <w:szCs w:val="17"/>
        </w:rPr>
        <w:t xml:space="preserve">Tunçer (2015), ch. 3, on Moukabala, tax structure, and the Suez share sale.</w:t>
      </w:r>
    </w:p>
    <w:p>
      <w:pPr>
        <w:pStyle w:val="Heading1"/>
        <w:spacing w:after="160" w:before="360"/>
      </w:pPr>
      <w:r>
        <w:rPr>
          <w:rFonts w:ascii="Georgia" w:cs="Georgia" w:eastAsia="Georgia" w:hAnsi="Georgia"/>
          <w:b/>
          <w:bCs/>
          <w:color w:val="1A1A1A"/>
          <w:sz w:val="28"/>
          <w:szCs w:val="28"/>
        </w:rPr>
        <w:t xml:space="preserve">Default Turned Creditors Into Governors</w:t>
      </w:r>
    </w:p>
    <w:p>
      <w:pPr>
        <w:spacing w:after="200" w:line="300"/>
        <w:jc w:val="left"/>
      </w:pPr>
      <w:r>
        <w:rPr>
          <w:rFonts w:ascii="Georgia" w:cs="Georgia" w:eastAsia="Georgia" w:hAnsi="Georgia"/>
          <w:sz w:val="22"/>
          <w:szCs w:val="22"/>
        </w:rPr>
        <w:t>On 6 April 1876 Egypt suspended payment on its treasury bonds. A decree that May unified the country's entire indebtedness, including the khedive's personal debts, at £91 million, fourteen years after the first £3.3 million loan. The arrangements that followed are the reason the episode matters. The Caisse de la Dette Publique, created on 2 May 1876, placed commissioners nominated by foreign governments in direct receipt of assigned Egyptian revenues. The Goschen–Joubert settlement that November wrote the unified debt down to £59 million at 6 percent plus a 1 percent sinking fund, and it established the 'Dual Control': a British controller-general and a French one, with authority over Egypt's revenue collection, audit, and budget. In 1879 the Ottoman sultan deposed Ismail at Anglo-French urging. Resentment of foreign financial control helped fuel a nationalist movement in the army under Colonel Ahmed 'Urabi. In 1882 a British fleet bombarded Alexandria, British forces defeated the Egyptian army at Tel el-Kebir on 13 September, and a 'temporary' occupation began. The last British troops left Egypt in 1956.</w:t>
      </w:r>
    </w:p>
    <w:p>
      <w:pPr>
        <w:spacing w:after="260"/>
        <w:ind w:left="360"/>
      </w:pPr>
      <w:r>
        <w:rPr>
          <w:rFonts w:ascii="Georgia" w:cs="Georgia" w:eastAsia="Georgia" w:hAnsi="Georgia"/>
          <w:i/>
          <w:iCs/>
          <w:color w:val="6B6B6B"/>
          <w:sz w:val="17"/>
          <w:szCs w:val="17"/>
        </w:rPr>
        <w:t xml:space="preserve">Tunçer (2015), ch. 3, on the 1876 decrees, the Caisse, and Dual Control; the sequence of 1879–1882 is standard in the scholarship.</w:t>
      </w:r>
    </w:p>
    <w:p>
      <w:pPr>
        <w:spacing w:after="200" w:line="300"/>
        <w:jc w:val="left"/>
      </w:pPr>
      <w:r>
        <w:rPr>
          <w:rFonts w:ascii="Georgia" w:cs="Georgia" w:eastAsia="Georgia" w:hAnsi="Georgia"/>
          <w:sz w:val="22"/>
          <w:szCs w:val="22"/>
        </w:rPr>
        <w:t>Two caveats apply. First, historians dispute how much the 1882 invasion was driven by bondholder interests and how much by the strategic security of the Suez route, but they do not dispute that the debt arrangements created the crisis the invasion answered. Second, the popular account of this story is a morality tale about an oriental spendthrift, and the British government's own Cave Report of 1876 echoed it by blaming the 'ignorance, dishonesty, waste and extravagance of the East'. Modern scholarship tells a more structural story: issue discounts and effective rates near 10 percent, a tax system Egypt was not sovereign over, and lenders who kept underwriting long after the arithmetic had failed and then had their claims enforced by their governments.</w:t>
      </w:r>
    </w:p>
    <w:p>
      <w:pPr>
        <w:spacing w:after="260"/>
        <w:ind w:left="360"/>
      </w:pPr>
      <w:r>
        <w:rPr>
          <w:rFonts w:ascii="Georgia" w:cs="Georgia" w:eastAsia="Georgia" w:hAnsi="Georgia"/>
          <w:i/>
          <w:iCs/>
          <w:color w:val="6B6B6B"/>
          <w:sz w:val="17"/>
          <w:szCs w:val="17"/>
        </w:rPr>
        <w:t xml:space="preserve">D.C.M. Platt, Finance, Trade, and Politics (1968) versus bondholder-centered accounts; Cave Report (1876), quoted in Tunçer (2015).</w:t>
      </w:r>
    </w:p>
    <w:p>
      <w:pPr>
        <w:pStyle w:val="Heading1"/>
        <w:spacing w:after="160" w:before="360"/>
      </w:pPr>
      <w:r>
        <w:rPr>
          <w:rFonts w:ascii="Georgia" w:cs="Georgia" w:eastAsia="Georgia" w:hAnsi="Georgia"/>
          <w:b/>
          <w:bCs/>
          <w:color w:val="1A1A1A"/>
          <w:sz w:val="28"/>
          <w:szCs w:val="28"/>
        </w:rPr>
        <w:t xml:space="preserve">Takeaways</w:t>
      </w:r>
    </w:p>
    <w:p>
      <w:pPr>
        <w:spacing w:after="220" w:line="300"/>
      </w:pPr>
      <w:r>
        <w:rPr>
          <w:rFonts w:ascii="Georgia" w:cs="Georgia" w:eastAsia="Georgia" w:hAnsi="Georgia"/>
          <w:b/>
          <w:bCs/>
          <w:sz w:val="22"/>
          <w:szCs w:val="22"/>
        </w:rPr>
        <w:t>Why this matters:</w:t>
      </w:r>
      <w:r>
        <w:rPr>
          <w:rFonts w:ascii="Georgia" w:cs="Georgia" w:eastAsia="Georgia" w:hAnsi="Georgia"/>
          <w:sz w:val="22"/>
          <w:szCs w:val="22"/>
        </w:rPr>
        <w:t xml:space="preserve"> A windfall is information about the present and says nothing about the future. Ismail's error was signing fixed, long-dated obligations whose service assumed the peak was the baseline. Spending the boom money was not the error in itself, since some of it built durable capacity. When prices reverted, the surplus vanished and the contracts remained. Debt outlives the conditions that justified it, and the danger lies in that asymmetry.</w:t>
      </w:r>
    </w:p>
    <w:p>
      <w:pPr>
        <w:spacing w:after="220" w:line="300"/>
      </w:pPr>
      <w:r>
        <w:rPr>
          <w:rFonts w:ascii="Georgia" w:cs="Georgia" w:eastAsia="Georgia" w:hAnsi="Georgia"/>
          <w:b/>
          <w:bCs/>
          <w:sz w:val="22"/>
          <w:szCs w:val="22"/>
        </w:rPr>
        <w:t>What this means today:</w:t>
      </w:r>
      <w:r>
        <w:rPr>
          <w:rFonts w:ascii="Georgia" w:cs="Georgia" w:eastAsia="Georgia" w:hAnsi="Georgia"/>
          <w:sz w:val="22"/>
          <w:szCs w:val="22"/>
        </w:rPr>
        <w:t xml:space="preserve"> Egypt's case is the resource-boom debt cycle in its original form. Commodity booms in the 1970s produced the sovereign debt crises of the 1980s by the same route, and oil states still budget off peak prices. Lender enthusiasm is no evidence of sustainability. Egypt could always find an underwriter, until abruptly it could not. For a borrower without bargaining power, default turns creditors into supervisors instead of wiping the slate clean. The modern versions arrive as conditionality and control of budgets rather than gunboats, but the result is recognizably the same: creditors acquire authority over a debtor's fiscal choices.</w:t>
      </w:r>
    </w:p>
    <w:p>
      <w:pPr>
        <w:spacing w:after="220" w:line="300"/>
      </w:pPr>
      <w:r>
        <w:rPr>
          <w:rFonts w:ascii="Georgia" w:cs="Georgia" w:eastAsia="Georgia" w:hAnsi="Georgia"/>
          <w:b/>
          <w:bCs/>
          <w:sz w:val="22"/>
          <w:szCs w:val="22"/>
        </w:rPr>
        <w:t>Where the lesson runs out:</w:t>
      </w:r>
      <w:r>
        <w:rPr>
          <w:rFonts w:ascii="Georgia" w:cs="Georgia" w:eastAsia="Georgia" w:hAnsi="Georgia"/>
          <w:sz w:val="22"/>
          <w:szCs w:val="22"/>
        </w:rPr>
        <w:t xml:space="preserve"> Borrowing into a boom is not a mistake in itself. Debt invested in capacity whose returns survive the boom price, as Egypt's irrigation did, can be sound even if the windfall fades. The full catastrophe also required specific conditions: a state with no tariff or tax sovereignty, foreigners immune from its courts and taxes, and creditors backed by empires willing to use force. A country with its own currency, tax flexibility, and no fleet offshore loses policy freedom to markets and rescue lenders, but it keeps its independence.</w:t>
      </w:r>
    </w:p>
    <w:p>
      <w:pPr>
        <w:spacing w:after="220" w:line="300"/>
      </w:pPr>
      <w:r>
        <w:rPr>
          <w:rFonts w:ascii="Georgia" w:cs="Georgia" w:eastAsia="Georgia" w:hAnsi="Georgia"/>
          <w:b/>
          <w:bCs/>
          <w:sz w:val="22"/>
          <w:szCs w:val="22"/>
        </w:rPr>
        <w:t>Who this is most useful for:</w:t>
      </w:r>
      <w:r>
        <w:rPr>
          <w:rFonts w:ascii="Georgia" w:cs="Georgia" w:eastAsia="Georgia" w:hAnsi="Georgia"/>
          <w:sz w:val="22"/>
          <w:szCs w:val="22"/>
        </w:rPr>
        <w:t xml:space="preserve"> Anyone setting long-term fixed commitments against an unusually good year, such as a finance ministry riding a commodity price, a company hiring against a one-time revenue spike, or a household borrowing against a peak income. The test is simple to state and hard to apply: whether the obligation would still be serviceable if revenue went back to what it was three years ago.</w:t>
      </w:r>
    </w:p>
    <w:sectPr>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2026-09-04T19:11:31.452Z</dcterms:created>
  <dcterms:modified xsi:type="dcterms:W3CDTF">2026-09-04T19:11:31.452Z</dcterms:modified>
</cp:coreProperties>
</file>

<file path=docProps/custom.xml><?xml version="1.0" encoding="utf-8"?>
<Properties xmlns="http://schemas.openxmlformats.org/officeDocument/2006/custom-properties" xmlns:vt="http://schemas.openxmlformats.org/officeDocument/2006/docPropsVTypes"/>
</file>