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7233B"/>
          <w:sz w:val="40"/>
          <w:szCs w:val="40"/>
        </w:rPr>
        <w:t xml:space="preserve">Scotland Bet a Fifth of Its Money on One Colony, and the Refund Cost Its Independence</w:t>
      </w:r>
    </w:p>
    <w:p>
      <w:pPr>
        <w:pBdr>
          <w:bottom w:val="single" w:color="BBBBBB" w:sz="6" w:space="8"/>
        </w:pBdr>
        <w:spacing w:after="320"/>
      </w:pPr>
      <w:r>
        <w:rPr>
          <w:rFonts w:ascii="Georgia" w:cs="Georgia" w:eastAsia="Georgia" w:hAnsi="Georgia"/>
          <w:color w:val="888888"/>
          <w:sz w:val="19"/>
          <w:szCs w:val="19"/>
        </w:rPr>
        <w:t xml:space="preserve">The Darién scheme, 1695–1707 · Learnings from History · September 7, 2026</w:t>
      </w:r>
    </w:p>
    <w:p>
      <w:pPr>
        <w:spacing w:after="180" w:line="300"/>
      </w:pPr>
      <w:r>
        <w:rPr>
          <w:rFonts w:ascii="Georgia" w:cs="Georgia" w:eastAsia="Georgia" w:hAnsi="Georgia"/>
          <w:sz w:val="23"/>
          <w:szCs w:val="23"/>
        </w:rPr>
        <w:t>In the 1690s Scotland was poor, famine-struck, and shut out of England’s trading empire. It put a sum commonly estimated at a fifth to a quarter of its liquid capital into a single venture, a colony at Darién on the isthmus of Panama that was meant to become the crossroads of Atlantic and Pacific trade. Within two years more than 2,000 colonists were dead and the money was gone. Seven years after that, Scotland ceased to be an independent state, and the treaty that ended its independence contained a line item repaying the venture’s shareholders, with interest.</w:t>
      </w:r>
    </w:p>
    <w:p>
      <w:pPr>
        <w:pStyle w:val="Heading1"/>
        <w:spacing w:after="160" w:before="340"/>
      </w:pPr>
      <w:r>
        <w:rPr>
          <w:rFonts w:ascii="Georgia" w:cs="Georgia" w:eastAsia="Georgia" w:hAnsi="Georgia"/>
          <w:b/>
          <w:bCs/>
          <w:color w:val="1F3864"/>
          <w:sz w:val="30"/>
          <w:szCs w:val="30"/>
        </w:rPr>
        <w:t xml:space="preserve">A reasonable bet for a country running out of options</w:t>
      </w:r>
    </w:p>
    <w:p>
      <w:pPr>
        <w:spacing w:after="180" w:line="300"/>
      </w:pPr>
      <w:r>
        <w:rPr>
          <w:rFonts w:ascii="Georgia" w:cs="Georgia" w:eastAsia="Georgia" w:hAnsi="Georgia"/>
          <w:sz w:val="23"/>
          <w:szCs w:val="23"/>
        </w:rPr>
        <w:t>The Scotland of 1695 was in the worst decade it would ever record. Tree-ring evidence shows the 1690s were its coldest decade in 750 years, and the crop failures that followed, remembered as the “seven ill years,” killed an estimated 10 to 15 percent of the population. England’s Navigation Acts barred Scottish ships from English colonial trade, so the obvious escape route, joining the Atlantic economy, was legally closed. Meanwhile the model for what a small nation’s capital could do was sitting next door. The East India Company was making London investors rich, and the Bank of England had just been founded (by a Scot, William Paterson).</w:t>
      </w:r>
    </w:p>
    <w:p>
      <w:pPr>
        <w:spacing w:after="220" w:before="0"/>
      </w:pPr>
      <w:r>
        <w:rPr>
          <w:rFonts w:ascii="Georgia" w:cs="Georgia" w:eastAsia="Georgia" w:hAnsi="Georgia"/>
          <w:i/>
          <w:iCs/>
          <w:color w:val="666666"/>
          <w:sz w:val="18"/>
          <w:szCs w:val="18"/>
        </w:rPr>
        <w:t xml:space="preserve">Sources: D’Arrigo et al., Journal of Volcanology and Geothermal Research (2020); T.M. Devine, Scotland’s Empire (2003).</w:t>
      </w:r>
    </w:p>
    <w:p>
      <w:pPr>
        <w:spacing w:after="180" w:line="300"/>
      </w:pPr>
      <w:r>
        <w:rPr>
          <w:rFonts w:ascii="Georgia" w:cs="Georgia" w:eastAsia="Georgia" w:hAnsi="Georgia"/>
          <w:sz w:val="23"/>
          <w:szCs w:val="23"/>
        </w:rPr>
        <w:t>When the Scottish Parliament chartered the Company of Scotland in June 1695, with capital to be raised by public subscription for trade with “Africa and the Indies,” it was using the same instrument, the chartered joint-stock company, that was demonstrably working for England and the Netherlands. It was not a fantasy project, and the tool itself was sound. The open question was whether Scotland could safely operate it alone.</w:t>
      </w:r>
    </w:p>
    <w:p>
      <w:pPr>
        <w:pStyle w:val="Heading1"/>
        <w:spacing w:after="160" w:before="340"/>
      </w:pPr>
      <w:r>
        <w:rPr>
          <w:rFonts w:ascii="Georgia" w:cs="Georgia" w:eastAsia="Georgia" w:hAnsi="Georgia"/>
          <w:b/>
          <w:bCs/>
          <w:color w:val="1F3864"/>
          <w:sz w:val="30"/>
          <w:szCs w:val="30"/>
        </w:rPr>
        <w:t xml:space="preserve">Each door England closed made the bet more concentrated</w:t>
      </w:r>
    </w:p>
    <w:p>
      <w:pPr>
        <w:spacing w:after="180" w:line="300"/>
      </w:pPr>
      <w:r>
        <w:rPr>
          <w:rFonts w:ascii="Georgia" w:cs="Georgia" w:eastAsia="Georgia" w:hAnsi="Georgia"/>
          <w:sz w:val="23"/>
          <w:szCs w:val="23"/>
        </w:rPr>
        <w:t>The original plan did not rest on Scottish money. London investors pledged roughly £300,000 within days in 1695, a sign that sophisticated capital found the venture credible. Then the East India Company, defending its monopoly, pushed back. The English Parliament threatened the company’s London directors with impeachment, and the pledged English and Dutch money was withdrawn. When the promoters raised funds in Hamburg instead, English diplomatic pressure forced those subscriptions to be refunded too.</w:t>
      </w:r>
    </w:p>
    <w:p>
      <w:pPr>
        <w:spacing w:after="220" w:before="0"/>
      </w:pPr>
      <w:r>
        <w:rPr>
          <w:rFonts w:ascii="Georgia" w:cs="Georgia" w:eastAsia="Georgia" w:hAnsi="Georgia"/>
          <w:i/>
          <w:iCs/>
          <w:color w:val="666666"/>
          <w:sz w:val="18"/>
          <w:szCs w:val="18"/>
        </w:rPr>
        <w:t xml:space="preserve">Sources: John Prebble, The Darien Disaster (1968); G.P. Insh, ed., Papers Relating to the Ships and Voyages of the Company of Scotland (1924).</w:t>
      </w:r>
    </w:p>
    <w:p>
      <w:pPr>
        <w:spacing w:after="180" w:line="300"/>
      </w:pPr>
      <w:r>
        <w:rPr>
          <w:rFonts w:ascii="Georgia" w:cs="Georgia" w:eastAsia="Georgia" w:hAnsi="Georgia"/>
          <w:sz w:val="23"/>
          <w:szCs w:val="23"/>
        </w:rPr>
        <w:t>The forced exit of foreign capital was the turning point of the episode, because it nationalized the risk without shrinking the plan. In 1696 the company raised £400,000 sterling in subscriptions from Scotland alone, in a matter of weeks, from every level of society: nobles, merchants, ministers, widows. Estimates of what share of Scotland’s available money this represented range from a fifth to a quarter, with some running higher. English obstruction had turned a diversified international venture into a patriotic cause, and a patriotic cause is very hard to size prudently. Douglas Watt, the historian who reconstructed the company’s ledgers, argues that the fatal decision was this one rather than the choice of destination: raising a sum wildly disproportionate to Scotland’s economy and to any realistic plan for deploying it.</w:t>
      </w:r>
    </w:p>
    <w:p>
      <w:pPr>
        <w:spacing w:after="220" w:before="0"/>
      </w:pPr>
      <w:r>
        <w:rPr>
          <w:rFonts w:ascii="Georgia" w:cs="Georgia" w:eastAsia="Georgia" w:hAnsi="Georgia"/>
          <w:i/>
          <w:iCs/>
          <w:color w:val="666666"/>
          <w:sz w:val="18"/>
          <w:szCs w:val="18"/>
        </w:rPr>
        <w:t xml:space="preserve">Source: Douglas Watt, The Price of Scotland: Darien, Union and the Wealth of Nations (2007).</w:t>
      </w:r>
    </w:p>
    <w:p>
      <w:pPr>
        <w:pStyle w:val="Heading1"/>
        <w:spacing w:after="160" w:before="340"/>
      </w:pPr>
      <w:r>
        <w:rPr>
          <w:rFonts w:ascii="Georgia" w:cs="Georgia" w:eastAsia="Georgia" w:hAnsi="Georgia"/>
          <w:b/>
          <w:bCs/>
          <w:color w:val="1F3864"/>
          <w:sz w:val="30"/>
          <w:szCs w:val="30"/>
        </w:rPr>
        <w:t>What the directors knew about Darién, and what they missed</w:t>
      </w:r>
    </w:p>
    <w:p>
      <w:pPr>
        <w:spacing w:after="180" w:line="300"/>
      </w:pPr>
      <w:r>
        <w:rPr>
          <w:rFonts w:ascii="Georgia" w:cs="Georgia" w:eastAsia="Georgia" w:hAnsi="Georgia"/>
          <w:sz w:val="23"/>
          <w:szCs w:val="23"/>
        </w:rPr>
        <w:t>The directors’ best intelligence about Darién came from an eyewitness, Lionel Wafer, a ship’s surgeon who had lived among the Guna people of the isthmus in the 1680s. He described a fertile, healthy country whose inhabitants were hostile to Spain. Spain itself looked like a spent force, since buccaneers had repeatedly humiliated its Caribbean defenses within living memory. And the site was one of the great strategic positions on earth. The same logic later produced the Panama Railroad and the Panama Canal.</w:t>
      </w:r>
    </w:p>
    <w:p>
      <w:pPr>
        <w:spacing w:after="180" w:line="300"/>
      </w:pPr>
      <w:r>
        <w:rPr>
          <w:rFonts w:ascii="Georgia" w:cs="Georgia" w:eastAsia="Georgia" w:hAnsi="Georgia"/>
          <w:sz w:val="23"/>
          <w:szCs w:val="23"/>
        </w:rPr>
        <w:t>They could not see three things. The first was disease. Wafer had survived Darién by living as the Guna lived, not garrisoned in a crowded fort on salted provisions. The second was Spain. Modern scholarship, notably Christopher Storrs’s work on the Spanish response, shows that the empire of the 1690s retained far more military capacity and will than its reputation for raids and decline suggested, and Darién sat beside the routes that carried Spanish silver. The third was their own king. In 1697 the war with France ended, and William needed Spanish goodwill for the looming question of the Spanish succession. The colonists sailed in July 1698 under a king whose diplomacy required their failure.</w:t>
      </w:r>
    </w:p>
    <w:p>
      <w:pPr>
        <w:spacing w:after="220" w:before="0"/>
      </w:pPr>
      <w:r>
        <w:rPr>
          <w:rFonts w:ascii="Georgia" w:cs="Georgia" w:eastAsia="Georgia" w:hAnsi="Georgia"/>
          <w:i/>
          <w:iCs/>
          <w:color w:val="666666"/>
          <w:sz w:val="18"/>
          <w:szCs w:val="18"/>
        </w:rPr>
        <w:t xml:space="preserve">Sources: Christopher Storrs, “Disaster at Darien?”, European History Quarterly (1999); Julie Orr, Scotland, Darien and the Atlantic World (2018).</w:t>
      </w:r>
    </w:p>
    <w:p>
      <w:pPr>
        <w:pStyle w:val="Heading1"/>
        <w:spacing w:after="160" w:before="340"/>
      </w:pPr>
      <w:r>
        <w:rPr>
          <w:rFonts w:ascii="Georgia" w:cs="Georgia" w:eastAsia="Georgia" w:hAnsi="Georgia"/>
          <w:b/>
          <w:bCs/>
          <w:color w:val="1F3864"/>
          <w:sz w:val="30"/>
          <w:szCs w:val="30"/>
        </w:rPr>
        <w:t>The two expeditions, 1698–1700</w:t>
      </w:r>
    </w:p>
    <w:p>
      <w:pPr>
        <w:spacing w:after="180" w:line="300"/>
      </w:pPr>
      <w:r>
        <w:rPr>
          <w:rFonts w:ascii="Georgia" w:cs="Georgia" w:eastAsia="Georgia" w:hAnsi="Georgia"/>
          <w:sz w:val="23"/>
          <w:szCs w:val="23"/>
        </w:rPr>
        <w:t>The first expedition, five ships carrying about 1,200 people, made landfall on 2 November 1698. The colonists built a fort with fifty cannon and no fresh-water source, and found that almost nothing else worked. The land resisted agriculture, passing traders bought nothing, and the provisions rotted. When the rains came, fever and dysentery pushed deaths to ten a day. William, meanwhile, ordered the English colonies to deny the Scots any supplies, and a ship seeking help at Port Royal, Jamaica, was turned away. The survivors abandoned the colony in July 1699, and roughly 300 of the 1,200 lived. News travelled more slowly than ships, and a second expedition of over 1,000 people had already sailed. Its settlers arrived in November 1699 to find ruined huts and 400 graves. They stayed. In March 1700, after a month-long Spanish siege and blockade, they capitulated on honorable terms. Of about 2,500 settlers across both expeditions, only a few hundred ever came home.</w:t>
      </w:r>
    </w:p>
    <w:p>
      <w:pPr>
        <w:spacing w:after="220" w:before="0"/>
      </w:pPr>
      <w:r>
        <w:rPr>
          <w:rFonts w:ascii="Georgia" w:cs="Georgia" w:eastAsia="Georgia" w:hAnsi="Georgia"/>
          <w:i/>
          <w:iCs/>
          <w:color w:val="666666"/>
          <w:sz w:val="18"/>
          <w:szCs w:val="18"/>
        </w:rPr>
        <w:t xml:space="preserve">Sources: Prebble (1968); Francis Borland, Memoirs of Darien (1715, participant account); Storrs (1999).</w:t>
      </w:r>
    </w:p>
    <w:p>
      <w:pPr>
        <w:pStyle w:val="Heading1"/>
        <w:spacing w:after="160" w:before="340"/>
      </w:pPr>
      <w:r>
        <w:rPr>
          <w:rFonts w:ascii="Georgia" w:cs="Georgia" w:eastAsia="Georgia" w:hAnsi="Georgia"/>
          <w:b/>
          <w:bCs/>
          <w:color w:val="1F3864"/>
          <w:sz w:val="30"/>
          <w:szCs w:val="30"/>
        </w:rPr>
        <w:t>How the union treaty repaid the shareholders</w:t>
      </w:r>
    </w:p>
    <w:p>
      <w:pPr>
        <w:spacing w:after="180" w:line="300"/>
      </w:pPr>
      <w:r>
        <w:rPr>
          <w:rFonts w:ascii="Georgia" w:cs="Georgia" w:eastAsia="Georgia" w:hAnsi="Georgia"/>
          <w:sz w:val="23"/>
          <w:szCs w:val="23"/>
        </w:rPr>
        <w:t>The loss touched nearly every propertied family in Lowland Scotland, and it fell on a country with no way to absorb it. Scotland had no deep capital market, no diversified portfolio of ventures, and one bank three years old. When union negotiations concluded in 1707, Article 15 of the treaty granted Scotland the “Equivalent”: £398,085 and ten shillings from the English Treasury. By Watt’s accounting, 58.6 percent of it went to shareholders and creditors of the Company of Scotland, repaid with interest at five percent. Many of the parliamentarians voting on union were themselves subscribers. Robert Burns later wrote a famous song accusing that generation’s elite of having been bought with English gold.</w:t>
      </w:r>
    </w:p>
    <w:p>
      <w:pPr>
        <w:spacing w:after="220" w:before="0"/>
      </w:pPr>
      <w:r>
        <w:rPr>
          <w:rFonts w:ascii="Georgia" w:cs="Georgia" w:eastAsia="Georgia" w:hAnsi="Georgia"/>
          <w:i/>
          <w:iCs/>
          <w:color w:val="666666"/>
          <w:sz w:val="18"/>
          <w:szCs w:val="18"/>
        </w:rPr>
        <w:t xml:space="preserve">Sources: Watt (2007); Acts of Union 1707, Article 15.</w:t>
      </w:r>
    </w:p>
    <w:p>
      <w:pPr>
        <w:spacing w:after="180" w:line="300"/>
      </w:pPr>
      <w:r>
        <w:rPr>
          <w:rFonts w:ascii="Georgia" w:cs="Georgia" w:eastAsia="Georgia" w:hAnsi="Georgia"/>
          <w:sz w:val="23"/>
          <w:szCs w:val="23"/>
        </w:rPr>
        <w:t>Two cautions apply. First, historians dispute how much Darién caused the Union. Political management, patronage, and the succession crisis mattered too, and the vote came seven years after the collapse. The disaster is best described as having weakened resistance and created a constituency for compensation, rather than as having settled the question alone. Second, the popular Scottish account, that England strangled a sound venture, is only half right. English obstruction was real and materially damaging. But the scholarship of Watt, Storrs, and Orr converges on the view that the venture carried independent, probably fatal flaws: a site claimed and defensible by Spain, a disease environment the planners misread, and capital raised on a scale that guaranteed the failure would be national rather than commercial.</w:t>
      </w:r>
    </w:p>
    <w:p>
      <w:pPr>
        <w:pStyle w:val="Heading1"/>
        <w:spacing w:after="160" w:before="340"/>
      </w:pPr>
      <w:r>
        <w:rPr>
          <w:rFonts w:ascii="Georgia" w:cs="Georgia" w:eastAsia="Georgia" w:hAnsi="Georgia"/>
          <w:b/>
          <w:bCs/>
          <w:color w:val="1F3864"/>
          <w:sz w:val="30"/>
          <w:szCs w:val="30"/>
        </w:rPr>
        <w:t xml:space="preserve">Takeaways</w:t>
      </w:r>
    </w:p>
    <w:p>
      <w:pPr>
        <w:spacing w:after="180" w:line="300"/>
      </w:pPr>
      <w:r>
        <w:rPr>
          <w:rFonts w:ascii="Georgia" w:cs="Georgia" w:eastAsia="Georgia" w:hAnsi="Georgia"/>
          <w:b/>
          <w:bCs/>
          <w:sz w:val="23"/>
          <w:szCs w:val="23"/>
        </w:rPr>
        <w:t>Why this matters:</w:t>
      </w:r>
      <w:r>
        <w:rPr>
          <w:rFonts w:ascii="Georgia" w:cs="Georgia" w:eastAsia="Georgia" w:hAnsi="Georgia"/>
          <w:sz w:val="23"/>
          <w:szCs w:val="23"/>
        </w:rPr>
        <w:t xml:space="preserve"> most of the individual decisions here were defensible. The promoters used a proven instrument, relied on eyewitness intelligence, and won early backing from London’s smartest money. The concentration was not defensible. A small polity that stakes a fifth of its capital on one venture has tied its constitutional future to a single outcome. When a concentrated national bet fails, the country loses more than money. It loses the freedom to choose what happens next.</w:t>
      </w:r>
    </w:p>
    <w:p>
      <w:pPr>
        <w:spacing w:after="180" w:line="300"/>
      </w:pPr>
      <w:r>
        <w:rPr>
          <w:rFonts w:ascii="Georgia" w:cs="Georgia" w:eastAsia="Georgia" w:hAnsi="Georgia"/>
          <w:b/>
          <w:bCs/>
          <w:sz w:val="23"/>
          <w:szCs w:val="23"/>
        </w:rPr>
        <w:t>What this means today:</w:t>
      </w:r>
      <w:r>
        <w:rPr>
          <w:rFonts w:ascii="Georgia" w:cs="Georgia" w:eastAsia="Georgia" w:hAnsi="Georgia"/>
          <w:sz w:val="23"/>
          <w:szCs w:val="23"/>
        </w:rPr>
        <w:t xml:space="preserve"> the pattern recurs wherever exclusion breeds concentration, as when a country locked out of a trading bloc pours everything into one national champion, one commodity, or one mega-project. The structure of the bailout also shaped the politics. Repaying the failed venture’s creditors through the union treaty turned the losers into stakeholders in the new arrangement, and whoever designs a compensation scheme shapes the coalition it creates.</w:t>
      </w:r>
    </w:p>
    <w:p>
      <w:pPr>
        <w:spacing w:after="180" w:line="300"/>
      </w:pPr>
      <w:r>
        <w:rPr>
          <w:rFonts w:ascii="Georgia" w:cs="Georgia" w:eastAsia="Georgia" w:hAnsi="Georgia"/>
          <w:b/>
          <w:bCs/>
          <w:sz w:val="23"/>
          <w:szCs w:val="23"/>
        </w:rPr>
        <w:t>Where the lesson runs out:</w:t>
      </w:r>
      <w:r>
        <w:rPr>
          <w:rFonts w:ascii="Georgia" w:cs="Georgia" w:eastAsia="Georgia" w:hAnsi="Georgia"/>
          <w:sz w:val="23"/>
          <w:szCs w:val="23"/>
        </w:rPr>
        <w:t xml:space="preserve"> this dynamic requires an economy too small and shallow to diversify, and a powerful neighbor able both to cause the failure and to price the rescue. A large modern economy with deep capital markets can lose a Darién-sized bet as a line item. Nor is the lesson “never bet big.” Ambition was not Scotland’s problem. The problem was the absence of any second chance if the first bet failed.</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2026-09-07T19:10:12.573Z</dcterms:created>
  <dcterms:modified xsi:type="dcterms:W3CDTF">2026-09-07T19:10:12.573Z</dcterms:modified>
</cp:coreProperties>
</file>

<file path=docProps/custom.xml><?xml version="1.0" encoding="utf-8"?>
<Properties xmlns="http://schemas.openxmlformats.org/officeDocument/2006/custom-properties" xmlns:vt="http://schemas.openxmlformats.org/officeDocument/2006/docPropsVTypes"/>
</file>