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Statistic Said Convoy Was Impossible, and the Statistic Was Wrong</w:t>
      </w:r>
    </w:p>
    <w:p>
      <w:pPr>
        <w:spacing w:after="360"/>
      </w:pPr>
      <w:r>
        <w:rPr>
          <w:rFonts w:ascii="Georgia" w:cs="Georgia" w:eastAsia="Georgia" w:hAnsi="Georgia"/>
          <w:i/>
          <w:iCs/>
          <w:color w:val="444444"/>
          <w:sz w:val="20"/>
          <w:szCs w:val="20"/>
        </w:rPr>
        <w:t xml:space="preserve">Britain, 1917 — how a competent navy nearly reasoned its way to defeat from a bad denominator</w:t>
      </w:r>
    </w:p>
    <w:p>
      <w:pPr>
        <w:spacing w:after="200" w:line="300"/>
      </w:pPr>
      <w:r>
        <w:rPr>
          <w:rFonts w:ascii="Georgia" w:cs="Georgia" w:eastAsia="Georgia" w:hAnsi="Georgia"/>
          <w:sz w:val="22"/>
          <w:szCs w:val="22"/>
        </w:rPr>
        <w:t>In the spring of 1917, German submarines were sinking merchant ships faster than Britain could build them, and the Royal Navy’s own figures said the one defense that would work could not be done. Those figures were wrong by a factor of roughly fifteen to twenty, and the turning point came when a junior officer took the trouble to recount them. The episode shows how good reasoning from a bad number nearly lost a war, and what it actually took to catch the error.</w:t>
      </w:r>
    </w:p>
    <w:p>
      <w:pPr>
        <w:pStyle w:val="Heading1"/>
        <w:spacing w:after="200" w:before="360"/>
      </w:pPr>
      <w:r>
        <w:rPr>
          <w:rFonts w:ascii="Georgia" w:cs="Georgia" w:eastAsia="Georgia" w:hAnsi="Georgia"/>
          <w:b/>
          <w:bCs/>
          <w:color w:val="1F3864"/>
          <w:sz w:val="28"/>
          <w:szCs w:val="28"/>
        </w:rPr>
        <w:t xml:space="preserve">Germany’s arithmetic was working</w:t>
      </w:r>
    </w:p>
    <w:p>
      <w:pPr>
        <w:spacing w:after="200" w:line="300"/>
      </w:pPr>
      <w:r>
        <w:rPr>
          <w:rFonts w:ascii="Georgia" w:cs="Georgia" w:eastAsia="Georgia" w:hAnsi="Georgia"/>
          <w:sz w:val="22"/>
          <w:szCs w:val="22"/>
        </w:rPr>
        <w:t>On February 1, 1917, Germany declared unrestricted submarine warfare: its U-boats would sink any ship, belligerent or neutral, in the waters around Britain. The German naval staff under Admiral Henning von Holtzendorff had put a number on the gamble. If submarines sank 600,000 tons of shipping a month for five months, Britain, an island that imported most of its food, would have to make peace before American power could reach Europe. For a while the plan ran ahead of schedule. Losses climbed through February and March, and in April 1917 submarines sank 860,334 tons of Allied and neutral shipping, the worst month for merchant shipping losses in either world war. By the Admiralty’s own reckoning, roughly one in four ships that left British ports that April did not come back.</w:t>
      </w:r>
    </w:p>
    <w:p>
      <w:pPr>
        <w:spacing w:after="240"/>
      </w:pPr>
      <w:r>
        <w:rPr>
          <w:rFonts w:ascii="Georgia" w:cs="Georgia" w:eastAsia="Georgia" w:hAnsi="Georgia"/>
          <w:i/>
          <w:iCs/>
          <w:color w:val="666666"/>
          <w:sz w:val="17"/>
          <w:szCs w:val="17"/>
        </w:rPr>
        <w:t xml:space="preserve">Figures from Admiralty statistics as compiled in Arthur Marder, From the Dreadnought to Scapa Flow, Vol. 4 (1969), and the U.S. Naval History and Heritage Command’s commemorative study Ensuring the Lifeline to Victory.</w:t>
      </w:r>
    </w:p>
    <w:p>
      <w:pPr>
        <w:spacing w:after="200" w:line="300"/>
      </w:pPr>
      <w:r>
        <w:rPr>
          <w:rFonts w:ascii="Georgia" w:cs="Georgia" w:eastAsia="Georgia" w:hAnsi="Georgia"/>
          <w:sz w:val="22"/>
          <w:szCs w:val="22"/>
        </w:rPr>
        <w:t xml:space="preserve">The men running the Admiralty understood this arithmetic perfectly. When the American admiral William Sims arrived in London that April, the First Sea Lord, John Jellicoe, showed him the loss tables and told him it would be “impossible for us to go on with the war if losses like this continue.” Sims asked what the solution was. Jellicoe answered that, at present, there was none.</w:t>
      </w:r>
    </w:p>
    <w:p>
      <w:pPr>
        <w:spacing w:after="240"/>
      </w:pPr>
      <w:r>
        <w:rPr>
          <w:rFonts w:ascii="Georgia" w:cs="Georgia" w:eastAsia="Georgia" w:hAnsi="Georgia"/>
          <w:i/>
          <w:iCs/>
          <w:color w:val="666666"/>
          <w:sz w:val="17"/>
          <w:szCs w:val="17"/>
        </w:rPr>
        <w:t xml:space="preserve">The exchange is from Sims’s memoir The Victory at Sea (1920); Sims was a participant writing three years later, but the substance matches Jellicoe’s contemporaneous memoranda.</w:t>
      </w:r>
    </w:p>
    <w:p>
      <w:pPr>
        <w:pStyle w:val="Heading1"/>
        <w:spacing w:after="200" w:before="360"/>
      </w:pPr>
      <w:r>
        <w:rPr>
          <w:rFonts w:ascii="Georgia" w:cs="Georgia" w:eastAsia="Georgia" w:hAnsi="Georgia"/>
          <w:b/>
          <w:bCs/>
          <w:color w:val="1F3864"/>
          <w:sz w:val="28"/>
          <w:szCs w:val="28"/>
        </w:rPr>
        <w:t xml:space="preserve">Why the one defense that worked looked impossible</w:t>
      </w:r>
    </w:p>
    <w:p>
      <w:pPr>
        <w:spacing w:after="200" w:line="300"/>
      </w:pPr>
      <w:r>
        <w:rPr>
          <w:rFonts w:ascii="Georgia" w:cs="Georgia" w:eastAsia="Georgia" w:hAnsi="Georgia"/>
          <w:sz w:val="22"/>
          <w:szCs w:val="22"/>
        </w:rPr>
        <w:t>The obvious candidate, convoy, was ancient. Sailing merchantmen had crossed oceans in escorted groups for centuries, and under Britain’s eighteenth-century Convoy Acts the practice had been compulsory in wartime. The Royal Navy had let it lapse in the steam age, and in January 1917 the Admiralty put its position in writing: an official pamphlet stated that convoy was not a sound method of defending trade.</w:t>
      </w:r>
    </w:p>
    <w:p>
      <w:pPr>
        <w:spacing w:after="200" w:line="300"/>
      </w:pPr>
      <w:r>
        <w:rPr>
          <w:rFonts w:ascii="Georgia" w:cs="Georgia" w:eastAsia="Georgia" w:hAnsi="Georgia"/>
          <w:sz w:val="22"/>
          <w:szCs w:val="22"/>
        </w:rPr>
        <w:t>The Admiralty’s objections were serious ones. A convoy bundled dozens of ships into one large target. Merchant captains were thought incapable of holding tight formation and zigzagging at night without lights, and when consulted, the captains largely agreed. Ships arriving in bunches would swamp the ports. Destroyers were desperately scarce, and the Grand Fleet had first claim on them. Naval doctrine also favored what felt offensive, patrolling the sea lanes and hunting submarines, over what looked like passively herding merchantmen. That patrols almost never actually found a submarine was much harder to see at the time than it is now.</w:t>
      </w:r>
    </w:p>
    <w:p>
      <w:pPr>
        <w:spacing w:after="240"/>
      </w:pPr>
      <w:r>
        <w:rPr>
          <w:rFonts w:ascii="Georgia" w:cs="Georgia" w:eastAsia="Georgia" w:hAnsi="Georgia"/>
          <w:i/>
          <w:iCs/>
          <w:color w:val="666666"/>
          <w:sz w:val="17"/>
          <w:szCs w:val="17"/>
        </w:rPr>
        <w:t xml:space="preserve">The January 1917 pamphlet and the Admiralty’s objections are detailed in Marder, Vol. 4, and John Terraine, Business in Great Waters: The U-Boat Wars 1916–1945 (1989).</w:t>
      </w:r>
    </w:p>
    <w:p>
      <w:pPr>
        <w:spacing w:after="200" w:line="300"/>
      </w:pPr>
      <w:r>
        <w:rPr>
          <w:rFonts w:ascii="Georgia" w:cs="Georgia" w:eastAsia="Georgia" w:hAnsi="Georgia"/>
          <w:sz w:val="22"/>
          <w:szCs w:val="22"/>
        </w:rPr>
        <w:t>Underneath all of it sat one decisive number. The published statistics showed around 2,500 ship movements in and out of British ports each week, more than 300 sailings a day. Convoying traffic on that scale would require escorts by the hundreds, which did not exist and could not be built in time. Given that number, rejecting convoy was the sober conclusion. The mistake lay earlier in the chain: nobody had asked what the number counted.</w:t>
      </w:r>
    </w:p>
    <w:p>
      <w:pPr>
        <w:pStyle w:val="Heading1"/>
        <w:spacing w:after="200" w:before="360"/>
      </w:pPr>
      <w:r>
        <w:rPr>
          <w:rFonts w:ascii="Georgia" w:cs="Georgia" w:eastAsia="Georgia" w:hAnsi="Georgia"/>
          <w:b/>
          <w:bCs/>
          <w:color w:val="1F3864"/>
          <w:sz w:val="28"/>
          <w:szCs w:val="28"/>
        </w:rPr>
        <w:t xml:space="preserve">A junior officer recounted the ships</w:t>
      </w:r>
    </w:p>
    <w:p>
      <w:pPr>
        <w:spacing w:after="200" w:line="300"/>
      </w:pPr>
      <w:r>
        <w:rPr>
          <w:rFonts w:ascii="Georgia" w:cs="Georgia" w:eastAsia="Georgia" w:hAnsi="Georgia"/>
          <w:sz w:val="22"/>
          <w:szCs w:val="22"/>
        </w:rPr>
        <w:t>The weekly figure came from customs returns built to measure trade rather than to fight a war. It counted every arrival and every departure at every port, including the same small coaster tallied several times a week, cross-Channel ferries, and all other harbor traffic. Commander Reginald Henderson, a junior officer in the Admiralty’s new Anti-Submarine Division, had reason to distrust it. Since February he had been organizing the cross-Channel coal trade to France into escorted groups, called “controlled sailings,” because the word convoy was unwelcome, and he was losing well under one percent of the ships in them. Working with Norman Leslie, a civil servant at the Ministry of Shipping, which kept its own records, Henderson recounted. The ocean-going trade that actually needed protection amounted to roughly 120 to 140 arrivals a week, or about 20 ships a day rather than 300. The impossible task was, at worst, difficult.</w:t>
      </w:r>
    </w:p>
    <w:p>
      <w:pPr>
        <w:spacing w:after="240"/>
      </w:pPr>
      <w:r>
        <w:rPr>
          <w:rFonts w:ascii="Georgia" w:cs="Georgia" w:eastAsia="Georgia" w:hAnsi="Georgia"/>
          <w:i/>
          <w:iCs/>
          <w:color w:val="666666"/>
          <w:sz w:val="17"/>
          <w:szCs w:val="17"/>
        </w:rPr>
        <w:t xml:space="preserve">Henderson and Leslie’s recount is reconstructed in Marder, Vol. 4, and Terraine (1989); the corrected figures also appear in the Naval History and Heritage Command study.</w:t>
      </w:r>
    </w:p>
    <w:p>
      <w:pPr>
        <w:spacing w:after="200" w:line="300"/>
      </w:pPr>
      <w:r>
        <w:rPr>
          <w:rFonts w:ascii="Georgia" w:cs="Georgia" w:eastAsia="Georgia" w:hAnsi="Georgia"/>
          <w:sz w:val="22"/>
          <w:szCs w:val="22"/>
        </w:rPr>
        <w:t>The recount arrived just as April’s losses made “keep patrolling” untenable. In the last week of April, Rear-Admiral Alexander Duff, head of the Anti-Submarine Division, formally recommended a convoy trial, and Jellicoe approved it on April 27. The first experimental convoy sailed from Gibraltar on May 10, 1917, and arrived without losing a ship.</w:t>
      </w:r>
    </w:p>
    <w:p>
      <w:pPr>
        <w:spacing w:after="200" w:line="300"/>
      </w:pPr>
      <w:r>
        <w:rPr>
          <w:rFonts w:ascii="Georgia" w:cs="Georgia" w:eastAsia="Georgia" w:hAnsi="Georgia"/>
          <w:sz w:val="22"/>
          <w:szCs w:val="22"/>
        </w:rPr>
        <w:t>The famous version of this story credits Lloyd George. His war memoirs claim that he, the Prime Minister, marched into the Admiralty on April 30 and imposed convoy on obstinate admirals, and the historian A. J. P. Taylor repeated the scene. The paper record shows that the decision predates his visit by several days. Maurice Hankey, the cabinet secretary who accompanied him, recorded finding convoy already accepted, and Edward Carson, the First Lord at the time, publicly called Lloyd George’s account the biggest lie ever told. Political pressure from Downing Street was real and probably accelerated matters. But the historians who traced the documents (Marder, Terraine, and Andrew Wiest) conclude that what changed the Admiralty’s mind was the corrected number and its own small-scale trials.</w:t>
      </w:r>
    </w:p>
    <w:p>
      <w:pPr>
        <w:spacing w:after="240"/>
      </w:pPr>
      <w:r>
        <w:rPr>
          <w:rFonts w:ascii="Georgia" w:cs="Georgia" w:eastAsia="Georgia" w:hAnsi="Georgia"/>
          <w:i/>
          <w:iCs/>
          <w:color w:val="666666"/>
          <w:sz w:val="17"/>
          <w:szCs w:val="17"/>
        </w:rPr>
        <w:t xml:space="preserve">Andrew Wiest, Passchendaele and the Royal Navy (1995), ch. 4; Hankey’s diary; Carson’s rebuttal in the Morning Post.</w:t>
      </w:r>
    </w:p>
    <w:p>
      <w:pPr>
        <w:pStyle w:val="Heading1"/>
        <w:spacing w:after="200" w:before="360"/>
      </w:pPr>
      <w:r>
        <w:rPr>
          <w:rFonts w:ascii="Georgia" w:cs="Georgia" w:eastAsia="Georgia" w:hAnsi="Georgia"/>
          <w:b/>
          <w:bCs/>
          <w:color w:val="1F3864"/>
          <w:sz w:val="28"/>
          <w:szCs w:val="28"/>
        </w:rPr>
        <w:t xml:space="preserve">The ocean emptied of targets</w:t>
      </w:r>
    </w:p>
    <w:p>
      <w:pPr>
        <w:spacing w:after="200" w:line="300"/>
      </w:pPr>
      <w:r>
        <w:rPr>
          <w:rFonts w:ascii="Georgia" w:cs="Georgia" w:eastAsia="Georgia" w:hAnsi="Georgia"/>
          <w:sz w:val="22"/>
          <w:szCs w:val="22"/>
        </w:rPr>
        <w:t>Convoy worked immediately and kept working. Of 8,707 ships convoyed between May and July 1917, 27 were lost, about 0.3 percent, in the same waters where a quarter of April’s independent sailings from Britain had been sunk. Over the rest of the war, loss rates in ocean convoy stayed around one percent, and a share of even those were stragglers sunk after falling out of formation. Within six months of general convoying, monthly tonnage losses had fallen by roughly two-thirds from the spring peak.</w:t>
      </w:r>
    </w:p>
    <w:p>
      <w:pPr>
        <w:spacing w:after="240"/>
      </w:pPr>
      <w:r>
        <w:rPr>
          <w:rFonts w:ascii="Georgia" w:cs="Georgia" w:eastAsia="Georgia" w:hAnsi="Georgia"/>
          <w:i/>
          <w:iCs/>
          <w:color w:val="666666"/>
          <w:sz w:val="17"/>
          <w:szCs w:val="17"/>
        </w:rPr>
        <w:t xml:space="preserve">Convoy loss statistics from Henry Newbolt, Naval Operations, Vol. 5 (the British official history), and Terraine (1989).</w:t>
      </w:r>
    </w:p>
    <w:p>
      <w:pPr>
        <w:spacing w:after="200" w:line="300"/>
      </w:pPr>
      <w:r>
        <w:rPr>
          <w:rFonts w:ascii="Georgia" w:cs="Georgia" w:eastAsia="Georgia" w:hAnsi="Georgia"/>
          <w:sz w:val="22"/>
          <w:szCs w:val="22"/>
        </w:rPr>
        <w:t>Convoy also emptied the ocean. A U-boat that had once found a steady stream of lone targets now cruised for days through vacant sea, and when it finally found ships, they came with destroyers attached. Attacks grew rarer and more dangerous for the attacker. Sims had argued exactly this when he called convoy the genuinely offensive measure, because it forced submarines to fight on the navy’s terms. Germany’s five-month knockout never came, and when some two million American soldiers crossed the Atlantic in 1917–18, the troop convoys delivered them with almost no losses to submarines.</w:t>
      </w:r>
    </w:p>
    <w:p>
      <w:pPr>
        <w:pStyle w:val="Heading1"/>
        <w:spacing w:after="200" w:before="360"/>
      </w:pPr>
      <w:r>
        <w:rPr>
          <w:rFonts w:ascii="Georgia" w:cs="Georgia" w:eastAsia="Georgia" w:hAnsi="Georgia"/>
          <w:b/>
          <w:bCs/>
          <w:color w:val="1F3864"/>
          <w:sz w:val="28"/>
          <w:szCs w:val="28"/>
        </w:rPr>
        <w:t xml:space="preserve">Takeaways</w:t>
      </w:r>
    </w:p>
    <w:p>
      <w:pPr>
        <w:spacing w:after="240" w:line="300"/>
      </w:pPr>
      <w:r>
        <w:rPr>
          <w:rFonts w:ascii="Georgia" w:cs="Georgia" w:eastAsia="Georgia" w:hAnsi="Georgia"/>
          <w:b/>
          <w:bCs/>
          <w:sz w:val="22"/>
          <w:szCs w:val="22"/>
        </w:rPr>
        <w:t>Why this matters:</w:t>
      </w:r>
      <w:r>
        <w:rPr>
          <w:rFonts w:ascii="Georgia" w:cs="Georgia" w:eastAsia="Georgia" w:hAnsi="Georgia"/>
          <w:sz w:val="22"/>
          <w:szCs w:val="22"/>
        </w:rPr>
        <w:t xml:space="preserve"> Institutions rarely reject good options out of stupidity. They reject them because an inherited number makes the option look impossible. Every one of the Admiralty’s objections was reasonable conditional on 2,500 sailings a week. The reasoning was sound, and the fault lay in where the number came from. A statistic built for trade accounting was allowed to settle an operational question of national survival, and its categories (port movements rather than ocean voyages) quietly decided the answer.</w:t>
      </w:r>
    </w:p>
    <w:p>
      <w:pPr>
        <w:spacing w:after="240" w:line="300"/>
      </w:pPr>
      <w:r>
        <w:rPr>
          <w:rFonts w:ascii="Georgia" w:cs="Georgia" w:eastAsia="Georgia" w:hAnsi="Georgia"/>
          <w:b/>
          <w:bCs/>
          <w:sz w:val="22"/>
          <w:szCs w:val="22"/>
        </w:rPr>
        <w:t>What this means today:</w:t>
      </w:r>
      <w:r>
        <w:rPr>
          <w:rFonts w:ascii="Georgia" w:cs="Georgia" w:eastAsia="Georgia" w:hAnsi="Georgia"/>
          <w:sz w:val="22"/>
          <w:szCs w:val="22"/>
        </w:rPr>
        <w:t xml:space="preserve"> Before trusting what a metric implies, ask what it actually counts. Most organizations make feasibility judgments from numbers collected by someone else for something else, such as accounting data driving operations or activity counts standing in for outcomes. The error here was caught in a way others can repeat, by comparing an independent dataset, the shipping ministry’s, with the official one and noticing that they disagreed. A junior person with access to outside data is often better placed to catch this than a senior person who has seen the official figure a hundred times.</w:t>
      </w:r>
    </w:p>
    <w:p>
      <w:pPr>
        <w:spacing w:after="240" w:line="300"/>
      </w:pPr>
      <w:r>
        <w:rPr>
          <w:rFonts w:ascii="Georgia" w:cs="Georgia" w:eastAsia="Georgia" w:hAnsi="Georgia"/>
          <w:b/>
          <w:bCs/>
          <w:sz w:val="22"/>
          <w:szCs w:val="22"/>
        </w:rPr>
        <w:t>Where the lesson runs out:</w:t>
      </w:r>
      <w:r>
        <w:rPr>
          <w:rFonts w:ascii="Georgia" w:cs="Georgia" w:eastAsia="Georgia" w:hAnsi="Georgia"/>
          <w:sz w:val="22"/>
          <w:szCs w:val="22"/>
        </w:rPr>
        <w:t xml:space="preserve"> The corrected number was necessary but not sufficient. It took April’s catastrophe to make anyone act on the recount, small-scale trials in the coal trade to make convoy credible, and American destroyers to help make it executable. In calmer conditions the wrong number might have stood for years, because audits are usually triggered by pressure rather than curiosity. Nor does the episode show that outsiders beat experts, and the outsider-hero version of the story is the false one. The correction came from inside the expert institution, from its own junior specialist doing unglamorous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2026-09-10T19:10:51.757Z</dcterms:created>
  <dcterms:modified xsi:type="dcterms:W3CDTF">2026-09-10T19:10:51.758Z</dcterms:modified>
</cp:coreProperties>
</file>

<file path=docProps/custom.xml><?xml version="1.0" encoding="utf-8"?>
<Properties xmlns="http://schemas.openxmlformats.org/officeDocument/2006/custom-properties" xmlns:vt="http://schemas.openxmlformats.org/officeDocument/2006/docPropsVTypes"/>
</file>