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F3864"/>
          <w:sz w:val="40"/>
          <w:szCs w:val="40"/>
        </w:rPr>
        <w:t xml:space="preserve">The Cure Arrived on the Same Boats as the Plague</w:t>
      </w:r>
    </w:p>
    <w:p>
      <w:pPr>
        <w:pBdr>
          <w:bottom w:val="single" w:color="1F3864" w:sz="6" w:space="8"/>
        </w:pBdr>
        <w:spacing w:after="360"/>
      </w:pPr>
      <w:r>
        <w:rPr>
          <w:rFonts w:ascii="Georgia" w:cs="Georgia" w:eastAsia="Georgia" w:hAnsi="Georgia"/>
          <w:i/>
          <w:iCs/>
          <w:color w:val="666666"/>
          <w:sz w:val="20"/>
          <w:szCs w:val="20"/>
        </w:rPr>
        <w:t xml:space="preserve">Learnings from History · September 17, 2026 · The French phylloxera crisis, 1863–1900</w:t>
      </w:r>
    </w:p>
    <w:p>
      <w:pPr>
        <w:spacing w:after="200" w:line="300"/>
      </w:pPr>
      <w:r>
        <w:rPr>
          <w:rFonts w:ascii="Georgia" w:cs="Georgia" w:eastAsia="Georgia" w:hAnsi="Georgia"/>
          <w:sz w:val="23"/>
          <w:szCs w:val="23"/>
        </w:rPr>
        <w:t>In the 1860s an insect almost too small to see began killing France's vines. Over three decades it destroyed more than half of the country's vineyard, by contemporary estimates a loss greater than the five-billion-franc indemnity France had just paid Prussia after the war of 1870. The fix that finally worked came from America, where the insect had come from too. French growers had good reasons both to refuse that fix and to adopt it. What follows traces both positions and what finally settled the question.</w:t>
      </w:r>
    </w:p>
    <w:p>
      <w:pPr>
        <w:pStyle w:val="Heading1"/>
        <w:spacing w:after="200" w:before="360"/>
      </w:pPr>
      <w:r>
        <w:rPr>
          <w:rFonts w:ascii="Georgia" w:cs="Georgia" w:eastAsia="Georgia" w:hAnsi="Georgia"/>
          <w:b/>
          <w:bCs/>
          <w:color w:val="1F3864"/>
          <w:sz w:val="28"/>
          <w:szCs w:val="28"/>
        </w:rPr>
        <w:t xml:space="preserve">The Killer Worked Underground, So France Argued About Whether It Existed</w:t>
      </w:r>
    </w:p>
    <w:p>
      <w:pPr>
        <w:spacing w:after="200" w:line="300"/>
      </w:pPr>
      <w:r>
        <w:rPr>
          <w:rFonts w:ascii="Georgia" w:cs="Georgia" w:eastAsia="Georgia" w:hAnsi="Georgia"/>
          <w:sz w:val="23"/>
          <w:szCs w:val="23"/>
        </w:rPr>
        <w:t>The first sign, in 1863, was patches of vines in the lower Rhône valley yellowing and dying for no visible reason, the patches spreading outward year by year like ripples. Growers dug up dead vines and found nothing. The break came in 1868, when a commission led by Jules-Émile Planchon, a botanist at Montpellier, thought to dig up the still-healthy vines at the edge of a dying patch instead. Their roots were crawling with minute yellow insects. Planchon named the aphid-like creature Phylloxera vastatrix, “the devastator.”</w:t>
      </w:r>
    </w:p>
    <w:p>
      <w:pPr>
        <w:spacing w:after="200" w:line="300"/>
      </w:pPr>
      <w:r>
        <w:rPr>
          <w:rFonts w:ascii="Georgia" w:cs="Georgia" w:eastAsia="Georgia" w:hAnsi="Georgia"/>
          <w:sz w:val="23"/>
          <w:szCs w:val="23"/>
        </w:rPr>
        <w:t>Even then, France did not agree it had found its killer. Respected scientists argued that the insect was an effect rather than a cause, merely feeding on vines already weakened by exhausted soil, bad weather, or degenerate stock. This was neither a fringe view nor a foolish one. By the time a dying vine was dug up, its roots were rotting and the insects had usually moved on, so the culprit was routinely absent from the corpse. It took several more years, and confirmation from Charles Valentine Riley, the state entomologist of Missouri, to establish the chain. The insect was American. It had crossed the Atlantic on imported vine cuttings, which were fashionable among collectors, and in the explanation historians have generally accepted, it was newly able to survive the trip once steamships cut the crossing time. American vine species, which had evolved alongside it, shrugged off root attacks that killed European vines within about three years.</w:t>
      </w:r>
    </w:p>
    <w:p>
      <w:pPr>
        <w:spacing w:after="240"/>
      </w:pPr>
      <w:r>
        <w:rPr>
          <w:rFonts w:ascii="Georgia" w:cs="Georgia" w:eastAsia="Georgia" w:hAnsi="Georgia"/>
          <w:i/>
          <w:iCs/>
          <w:color w:val="666666"/>
          <w:sz w:val="19"/>
          <w:szCs w:val="19"/>
        </w:rPr>
        <w:t xml:space="preserve">Christy Campbell, Phylloxera: How Wine Was Saved for the World (2004); George Ordish, The Great Wine Blight (1972).</w:t>
      </w:r>
    </w:p>
    <w:p>
      <w:pPr>
        <w:spacing w:after="200" w:line="300"/>
      </w:pPr>
      <w:r>
        <w:rPr>
          <w:rFonts w:ascii="Georgia" w:cs="Georgia" w:eastAsia="Georgia" w:hAnsi="Georgia"/>
          <w:sz w:val="23"/>
          <w:szCs w:val="23"/>
        </w:rPr>
        <w:t>French wine production fell from 84.5 million hectoliters in 1875, a record year, to 23.4 million in 1889. More than half of the country's roughly 2.5 million hectares of vines died or were torn out, and estimates of the destroyed area run from about 1.5 to 2.5 million hectares. The government's prize for a cure, raised to 300,000 francs in 1874, drew hundreds of submissions. One in the ministry's files proposed burying a live toad beneath each vine. The prize was never awarded, because no one ever killed the insect. France learned to live on top of it instead.</w:t>
      </w:r>
    </w:p>
    <w:p>
      <w:pPr>
        <w:spacing w:after="240"/>
      </w:pPr>
      <w:r>
        <w:rPr>
          <w:rFonts w:ascii="Georgia" w:cs="Georgia" w:eastAsia="Georgia" w:hAnsi="Georgia"/>
          <w:i/>
          <w:iCs/>
          <w:color w:val="666666"/>
          <w:sz w:val="19"/>
          <w:szCs w:val="19"/>
        </w:rPr>
        <w:t xml:space="preserve">Production figures per Campbell (2004); the unawarded prize is noted in the records of the École d'Agriculture de Montpellier.</w:t>
      </w:r>
    </w:p>
    <w:p>
      <w:pPr>
        <w:pStyle w:val="Heading1"/>
        <w:spacing w:after="200" w:before="360"/>
      </w:pPr>
      <w:r>
        <w:rPr>
          <w:rFonts w:ascii="Georgia" w:cs="Georgia" w:eastAsia="Georgia" w:hAnsi="Georgia"/>
          <w:b/>
          <w:bCs/>
          <w:color w:val="1F3864"/>
          <w:sz w:val="28"/>
          <w:szCs w:val="28"/>
        </w:rPr>
        <w:t>Chemical Defense, Grafting, and Who Chose Each</w:t>
      </w:r>
    </w:p>
    <w:p>
      <w:pPr>
        <w:spacing w:after="200" w:line="300"/>
      </w:pPr>
      <w:r>
        <w:rPr>
          <w:rFonts w:ascii="Georgia" w:cs="Georgia" w:eastAsia="Georgia" w:hAnsi="Georgia"/>
          <w:sz w:val="23"/>
          <w:szCs w:val="23"/>
        </w:rPr>
        <w:t>By the mid-1870s there were two serious responses, and France split into named camps. The “sulfuristes” injected carbon bisulfide, a toxic and flammable solvent, into the soil around every vine, and the treatment had to be repeated every year, indefinitely. It did not eradicate the insect, but done carefully it suppressed the infestation enough to keep old vines alive and producing. The “américanistes,” led by Planchon and the Montpellier school, wanted to tear up the vineyard and rebuild it by grafting, with the resistant American root underground and the French grape variety above it.</w:t>
      </w:r>
    </w:p>
    <w:p>
      <w:pPr>
        <w:spacing w:after="200" w:line="300"/>
      </w:pPr>
      <w:r>
        <w:rPr>
          <w:rFonts w:ascii="Georgia" w:cs="Georgia" w:eastAsia="Georgia" w:hAnsi="Georgia"/>
          <w:sz w:val="23"/>
          <w:szCs w:val="23"/>
        </w:rPr>
        <w:t>The two choices cost a grower very different things. Chemical defense preserved everything that mattered: the old vines, the wine's identity, and this year's crop. It did so at a heavy annual operating cost. Grafting meant destroying a living vineyard, going three to four years with no harvest, and staking the wine's reputation on foreign roots nobody yet trusted, grown from the same kind of imported American wood that had carried the plague in the first place. Contemporaries saw plainly how the camps divided. The sulfuristes were disproportionately the proprietors of the grand crus, who could afford an annual defense and held irreplaceable vines. The américanistes were smallholders of the south, who could not pay for chemicals every year and had less to lose by rebuilding. Great Bordeaux estates were among the most committed chemical defenders, and some kept injecting their soils into the twentieth century.</w:t>
      </w:r>
    </w:p>
    <w:p>
      <w:pPr>
        <w:spacing w:after="240"/>
      </w:pPr>
      <w:r>
        <w:rPr>
          <w:rFonts w:ascii="Georgia" w:cs="Georgia" w:eastAsia="Georgia" w:hAnsi="Georgia"/>
          <w:i/>
          <w:iCs/>
          <w:color w:val="666666"/>
          <w:sz w:val="19"/>
          <w:szCs w:val="19"/>
        </w:rPr>
        <w:t xml:space="preserve">The class character of the two camps is a contemporary observation, quoted and endorsed in Campbell (2004).</w:t>
      </w:r>
    </w:p>
    <w:p>
      <w:pPr>
        <w:spacing w:after="200" w:line="300"/>
      </w:pPr>
      <w:r>
        <w:rPr>
          <w:rFonts w:ascii="Georgia" w:cs="Georgia" w:eastAsia="Georgia" w:hAnsi="Georgia"/>
          <w:sz w:val="23"/>
          <w:szCs w:val="23"/>
        </w:rPr>
        <w:t>Grafting won so completely that nearly every fine wine on earth today grows on American roots, and in hindsight the chemical camp looks obstinate. At the time it was not. Carbon bisulfide did work as a holding action, the state subsidized it, eminent chemists of the Academy of Sciences endorsed it, and in the mid-1870s nobody could yet say whether wine from grafted vines would taste right. A rich estate paying an annual cost to preserve a century-old vineyard was making a defensible bet, and so was a smallholder choosing a reconstruction he would only have to pay for once.</w:t>
      </w:r>
    </w:p>
    <w:p>
      <w:pPr>
        <w:pStyle w:val="Heading1"/>
        <w:spacing w:after="200" w:before="360"/>
      </w:pPr>
      <w:r>
        <w:rPr>
          <w:rFonts w:ascii="Georgia" w:cs="Georgia" w:eastAsia="Georgia" w:hAnsi="Georgia"/>
          <w:b/>
          <w:bCs/>
          <w:color w:val="1F3864"/>
          <w:sz w:val="28"/>
          <w:szCs w:val="28"/>
        </w:rPr>
        <w:t>Quarantine, Mildew, and Reconstruction</w:t>
      </w:r>
    </w:p>
    <w:p>
      <w:pPr>
        <w:spacing w:after="200" w:line="300"/>
      </w:pPr>
      <w:r>
        <w:rPr>
          <w:rFonts w:ascii="Georgia" w:cs="Georgia" w:eastAsia="Georgia" w:hAnsi="Georgia"/>
          <w:sz w:val="23"/>
          <w:szCs w:val="23"/>
        </w:rPr>
        <w:t>The dilemma was sharpest in regions the insect had not yet reached. Burgundy and Champagne watched the south die and drew the obvious conclusion that American vines had brought this thing and must be kept out. Import restrictions followed. French law regulated the movement of American plants from 1878, and uninfected departments barred them outright. Bordeaux authorized grafted replanting in 1881, while Burgundy held out until 1887. As quarantine logic this was impeccable, but in the end it amounted to banning the only cure. The insect arrived anyway, traveling on boots, tools, and the wind, and the regions that had banned American rootstock began their recovery years behind the regions that had embraced it.</w:t>
      </w:r>
    </w:p>
    <w:p>
      <w:pPr>
        <w:spacing w:after="200" w:line="300"/>
      </w:pPr>
      <w:r>
        <w:rPr>
          <w:rFonts w:ascii="Georgia" w:cs="Georgia" w:eastAsia="Georgia" w:hAnsi="Georgia"/>
          <w:sz w:val="23"/>
          <w:szCs w:val="23"/>
        </w:rPr>
        <w:t>The caution is impossible to dismiss, because the feared side effect actually happened. Downy mildew, another American vine disease, reached France in the late 1870s, almost certainly on the very American plants being imported to save the vineyard, and became a costly plague in its own right. The people who warned that the cure would bring new diseases were right. Grafting was still correct on net, because nothing else on offer could end the crisis at all, and the new arrivals, unlike phylloxera, could at least be fought with sprays.</w:t>
      </w:r>
    </w:p>
    <w:p>
      <w:pPr>
        <w:spacing w:after="200" w:line="300"/>
      </w:pPr>
      <w:r>
        <w:rPr>
          <w:rFonts w:ascii="Georgia" w:cs="Georgia" w:eastAsia="Georgia" w:hAnsi="Georgia"/>
          <w:sz w:val="23"/>
          <w:szCs w:val="23"/>
        </w:rPr>
        <w:t>By about 1900 the reconstitution was substantially complete. France's vineyard stood then, and still stands, as a hybrid organism: French above the soil, American below it. The insect was never eradicated. Grafting made it irrelevant.</w:t>
      </w:r>
    </w:p>
    <w:p>
      <w:pPr>
        <w:pStyle w:val="Heading1"/>
        <w:spacing w:after="200" w:before="360"/>
      </w:pPr>
      <w:r>
        <w:rPr>
          <w:rFonts w:ascii="Georgia" w:cs="Georgia" w:eastAsia="Georgia" w:hAnsi="Georgia"/>
          <w:b/>
          <w:bCs/>
          <w:color w:val="1F3864"/>
          <w:sz w:val="28"/>
          <w:szCs w:val="28"/>
        </w:rPr>
        <w:t xml:space="preserve">Takeaways</w:t>
      </w:r>
    </w:p>
    <w:p>
      <w:pPr>
        <w:spacing w:after="220" w:line="300"/>
      </w:pPr>
      <w:r>
        <w:rPr>
          <w:rFonts w:ascii="Georgia" w:cs="Georgia" w:eastAsia="Georgia" w:hAnsi="Georgia"/>
          <w:b/>
          <w:bCs/>
          <w:sz w:val="23"/>
          <w:szCs w:val="23"/>
        </w:rPr>
        <w:t>Why this matters:</w:t>
      </w:r>
      <w:r>
        <w:rPr>
          <w:rFonts w:ascii="Georgia" w:cs="Georgia" w:eastAsia="Georgia" w:hAnsi="Georgia"/>
          <w:sz w:val="23"/>
          <w:szCs w:val="23"/>
        </w:rPr>
        <w:t xml:space="preserve"> The remedy was judged by where it came from rather than by how it worked. The cure came from the same place as the plague, and that was no accident: resistance evolves where the pest lives. The place a problem originates is often where its countermeasures have already been invented, and a rule that rejects everything associated with the source screens out the fix along with the threat.</w:t>
      </w:r>
    </w:p>
    <w:p>
      <w:pPr>
        <w:spacing w:after="220" w:line="300"/>
      </w:pPr>
      <w:r>
        <w:rPr>
          <w:rFonts w:ascii="Georgia" w:cs="Georgia" w:eastAsia="Georgia" w:hAnsi="Georgia"/>
          <w:b/>
          <w:bCs/>
          <w:sz w:val="23"/>
          <w:szCs w:val="23"/>
        </w:rPr>
        <w:t>What this means today:</w:t>
      </w:r>
      <w:r>
        <w:rPr>
          <w:rFonts w:ascii="Georgia" w:cs="Georgia" w:eastAsia="Georgia" w:hAnsi="Georgia"/>
          <w:sz w:val="23"/>
          <w:szCs w:val="23"/>
        </w:rPr>
        <w:t xml:space="preserve"> Growers split according to their finances, not their convictions. Those with expensive installed assets and steady cash flow chose perpetual mitigation. Those with little capital chose one-time replacement, and these poorer adopters of the radical fix turned out to be early rather than reckless. The same split appears wherever an industry chooses between defending legacy systems every year and rebuilding once on a new foundation. Before attributing such a disagreement to who understands the science, look at who owns what.</w:t>
      </w:r>
    </w:p>
    <w:p>
      <w:pPr>
        <w:spacing w:after="220" w:line="300"/>
      </w:pPr>
      <w:r>
        <w:rPr>
          <w:rFonts w:ascii="Georgia" w:cs="Georgia" w:eastAsia="Georgia" w:hAnsi="Georgia"/>
          <w:b/>
          <w:bCs/>
          <w:sz w:val="23"/>
          <w:szCs w:val="23"/>
        </w:rPr>
        <w:t>Where the lesson runs out:</w:t>
      </w:r>
      <w:r>
        <w:rPr>
          <w:rFonts w:ascii="Georgia" w:cs="Georgia" w:eastAsia="Georgia" w:hAnsi="Georgia"/>
          <w:sz w:val="23"/>
          <w:szCs w:val="23"/>
        </w:rPr>
        <w:t xml:space="preserve"> “Embrace the source of your problem” worked here because of two separable biological facts. The resistance lived in the root, and a grape's character comes from the scion above the graft, so grafting brought immunity without erasing the wine's identity. Where an imported fix brings companion harms without that kind of separable benefit, the quarantine instinct is right, and the mildew invasion shows the harms were real even in this case. Nor was the chemical camp simply wrong. The histories treat the two responses as rivals, but carbon bisulfide bought the years in which grafting could be proven and scaled.</w:t>
      </w:r>
    </w:p>
    <w:sectPr>
      <w:pgSz w:w="12240" w:h="15840" w:orient="portrait"/>
      <w:pgMar w:top="1440" w:right="1620" w:bottom="1440" w:left="1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2026-09-17T19:10:55.716Z</dcterms:created>
  <dcterms:modified xsi:type="dcterms:W3CDTF">2026-09-17T19:10:55.716Z</dcterms:modified>
</cp:coreProperties>
</file>

<file path=docProps/custom.xml><?xml version="1.0" encoding="utf-8"?>
<Properties xmlns="http://schemas.openxmlformats.org/officeDocument/2006/custom-properties" xmlns:vt="http://schemas.openxmlformats.org/officeDocument/2006/docPropsVTypes"/>
</file>