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864"/>
          <w:sz w:val="40"/>
          <w:szCs w:val="40"/>
        </w:rPr>
        <w:t xml:space="preserve">Italy Armed the Emperor It Planned to Rule</w:t>
      </w:r>
    </w:p>
    <w:p>
      <w:pPr>
        <w:spacing w:after="360"/>
      </w:pPr>
      <w:r>
        <w:rPr>
          <w:rFonts w:ascii="Georgia" w:cs="Georgia" w:eastAsia="Georgia" w:hAnsi="Georgia"/>
          <w:color w:val="888888"/>
          <w:sz w:val="18"/>
          <w:szCs w:val="18"/>
        </w:rPr>
        <w:t xml:space="preserve">Learnings from History · September 18, 2026</w:t>
      </w:r>
    </w:p>
    <w:p>
      <w:pPr>
        <w:spacing w:after="200" w:line="300"/>
      </w:pPr>
      <w:r>
        <w:rPr>
          <w:rFonts w:ascii="Georgia" w:cs="Georgia" w:eastAsia="Georgia" w:hAnsi="Georgia"/>
          <w:sz w:val="22"/>
          <w:szCs w:val="22"/>
        </w:rPr>
        <w:t>On the morning of March 1, 1896, an Italian army of roughly 17,000 men was destroyed near the Ethiopian town of Adwa by the emperor Italy claimed as its protectorate. It was the worst defeat any European power suffered in the nineteenth-century conquest of Africa, and it ended the war in a single day. More remarkable than the loss itself is that Italy had spent the previous decade helping to build the army that beat it, one reasonable decision at a time.</w:t>
      </w:r>
    </w:p>
    <w:p>
      <w:pPr>
        <w:pStyle w:val="Heading1"/>
        <w:spacing w:after="200" w:before="360"/>
      </w:pPr>
      <w:r>
        <w:rPr>
          <w:rFonts w:ascii="Georgia" w:cs="Georgia" w:eastAsia="Georgia" w:hAnsi="Georgia"/>
          <w:b/>
          <w:bCs/>
          <w:color w:val="1F3864"/>
          <w:sz w:val="30"/>
          <w:szCs w:val="30"/>
        </w:rPr>
        <w:t>Arming Menelik, 1887–1889</w:t>
      </w:r>
    </w:p>
    <w:p>
      <w:pPr>
        <w:spacing w:after="200" w:line="300"/>
      </w:pPr>
      <w:r>
        <w:rPr>
          <w:rFonts w:ascii="Georgia" w:cs="Georgia" w:eastAsia="Georgia" w:hAnsi="Georgia"/>
          <w:sz w:val="22"/>
          <w:szCs w:val="22"/>
        </w:rPr>
        <w:t>In the 1880s Ethiopia was an empire of rival kingdoms rather than a unified state. Emperor Yohannes IV ruled from the northern highlands, and Menelik, king of Shewa in the south, was his most powerful rival and likeliest successor. When Italy took the Red Sea port of Massawa in 1885 and began pushing inland, it collided with Yohannes. In January 1887, at Dogali, one of his generals annihilated an Italian column of about 500 men.</w:t>
      </w:r>
    </w:p>
    <w:p>
      <w:pPr>
        <w:spacing w:after="200" w:line="300"/>
      </w:pPr>
      <w:r>
        <w:rPr>
          <w:rFonts w:ascii="Georgia" w:cs="Georgia" w:eastAsia="Georgia" w:hAnsi="Georgia"/>
          <w:sz w:val="22"/>
          <w:szCs w:val="22"/>
        </w:rPr>
        <w:t>Italy responded as imperial powers commonly did, by strengthening its enemy's rival. By a convention signed in October 1887, Italy promised Menelik thousands of Remington rifles (most accounts say around 10,000) in exchange for his neutrality in the fight with Yohannes. The reasoning was sound: arming Menelik was far cheaper than fighting Yohannes head-on, and every rifle sent south weakened the emperor who was actually shooting at Italians.</w:t>
      </w:r>
    </w:p>
    <w:p>
      <w:pPr>
        <w:spacing w:after="200" w:line="300"/>
      </w:pPr>
      <w:r>
        <w:rPr>
          <w:rFonts w:ascii="Georgia" w:cs="Georgia" w:eastAsia="Georgia" w:hAnsi="Georgia"/>
          <w:sz w:val="22"/>
          <w:szCs w:val="22"/>
        </w:rPr>
        <w:t>In March 1889 Yohannes was killed fighting Sudanese Mahdist forces at Metemma, and Menelik claimed the imperial throne. Italy moved quickly to secure its position. On May 2, 1889, Menelik and the Italian envoy Count Pietro Antonelli signed the Treaty of Wuchale, under which Italy recognized Menelik as emperor and kept the highland territory that became its colony of Eritrea. A follow-on convention that October added a loan of four million lire and the right to import arms through Italian-controlled ports. Each piece was again defensible on its own terms. Money and guns would bind the new emperor to Rome, and the army of a client ruler would be Italy's asset rather than its problem.</w:t>
      </w:r>
    </w:p>
    <w:p>
      <w:pPr>
        <w:spacing w:after="240"/>
      </w:pPr>
      <w:r>
        <w:rPr>
          <w:rFonts w:ascii="Georgia" w:cs="Georgia" w:eastAsia="Georgia" w:hAnsi="Georgia"/>
          <w:i/>
          <w:iCs/>
          <w:color w:val="666666"/>
          <w:sz w:val="18"/>
          <w:szCs w:val="18"/>
        </w:rPr>
        <w:t xml:space="preserve">Raymond Jonas, The Battle of Adwa: African Victory in the Age of Empire (Harvard University Press, 2011); Harold G. Marcus, The Life and Times of Menelik II (Clarendon Press, 1975).</w:t>
      </w:r>
    </w:p>
    <w:p>
      <w:pPr>
        <w:pStyle w:val="Heading1"/>
        <w:spacing w:after="200" w:before="360"/>
      </w:pPr>
      <w:r>
        <w:rPr>
          <w:rFonts w:ascii="Georgia" w:cs="Georgia" w:eastAsia="Georgia" w:hAnsi="Georgia"/>
          <w:b/>
          <w:bCs/>
          <w:color w:val="1F3864"/>
          <w:sz w:val="30"/>
          <w:szCs w:val="30"/>
        </w:rPr>
        <w:t xml:space="preserve">One verb, two treaties</w:t>
      </w:r>
    </w:p>
    <w:p>
      <w:pPr>
        <w:spacing w:after="200" w:line="300"/>
      </w:pPr>
      <w:r>
        <w:rPr>
          <w:rFonts w:ascii="Georgia" w:cs="Georgia" w:eastAsia="Georgia" w:hAnsi="Georgia"/>
          <w:sz w:val="22"/>
          <w:szCs w:val="22"/>
        </w:rPr>
        <w:t>The trouble was Article 17. In the Italian text, the emperor of Ethiopia “consents to avail itself” of the Italian government in all dealings with other powers. That was the standard formula of a protectorate, the arrangement by which a nominally sovereign state hands its foreign relations to a stronger one. In the Amharic text the verb is permissive, and the emperor may use Italy's good offices if he wishes. Both versions were signed. The Italian made Menelik a client, and the Amharic left him a sovereign who could call on Italy's services or ignore them.</w:t>
      </w:r>
    </w:p>
    <w:p>
      <w:pPr>
        <w:spacing w:after="200" w:line="300"/>
      </w:pPr>
      <w:r>
        <w:rPr>
          <w:rFonts w:ascii="Georgia" w:cs="Georgia" w:eastAsia="Georgia" w:hAnsi="Georgia"/>
          <w:sz w:val="22"/>
          <w:szCs w:val="22"/>
        </w:rPr>
        <w:t>Italy promptly notified the European powers that Ethiopia was its protectorate. Britain accepted. France and Russia, with ambitions of their own in the region, pointedly did not. Menelik discovered the Italian reading when European courts began referring his correspondence back through Rome, and he answered in deliberate steps. In 1891 he circulated a letter to the powers defining Ethiopia's borders and rejecting any tutelage. In February 1893 he formally denounced the treaty, and he repaid the Italian loan in full, with interest, so that no obligation remained.</w:t>
      </w:r>
    </w:p>
    <w:p>
      <w:pPr>
        <w:spacing w:after="200" w:line="300"/>
      </w:pPr>
      <w:r>
        <w:rPr>
          <w:rFonts w:ascii="Georgia" w:cs="Georgia" w:eastAsia="Georgia" w:hAnsi="Georgia"/>
          <w:sz w:val="22"/>
          <w:szCs w:val="22"/>
        </w:rPr>
        <w:t>Whether the discrepancy was a careless translation or a deliberate trap remains disputed. Ethiopian tradition and much modern scholarship hold that Antonelli, who knew Amharic well, is unlikely to have produced the divergence innocently. Italian officials at the time blamed the translation process and insisted Menelik knew what he was signing. Either way, the popular story that “a mistranslation caused a war” is too clean, because the two governments collided over the substance of the protectorate rather than over a clerical slip. The two texts let both governments sign what each took to be a victory and put off finding out whose it was, while the disagreement grew.</w:t>
      </w:r>
    </w:p>
    <w:p>
      <w:pPr>
        <w:spacing w:after="240"/>
      </w:pPr>
      <w:r>
        <w:rPr>
          <w:rFonts w:ascii="Georgia" w:cs="Georgia" w:eastAsia="Georgia" w:hAnsi="Georgia"/>
          <w:i/>
          <w:iCs/>
          <w:color w:val="666666"/>
          <w:sz w:val="18"/>
          <w:szCs w:val="18"/>
        </w:rPr>
        <w:t xml:space="preserve">Sven Rubenson, The Survival of Ethiopian Independence (Heinemann, 1976), which examines both language versions; Jonas (2011) on the diplomatic aftermath.</w:t>
      </w:r>
    </w:p>
    <w:p>
      <w:pPr>
        <w:spacing w:after="200" w:line="300"/>
      </w:pPr>
      <w:r>
        <w:rPr>
          <w:rFonts w:ascii="Georgia" w:cs="Georgia" w:eastAsia="Georgia" w:hAnsi="Georgia"/>
          <w:sz w:val="22"/>
          <w:szCs w:val="22"/>
        </w:rPr>
        <w:t>While the dispute waited, Menelik kept buying arms. Because France and Russia refused to recognize the protectorate, they remained free to sell him weapons, and they did. A French deal delivered some 40,000 rifles through Djibouti in 1895, and Russian equipment followed. By the time the dispute was finally tested, Menelik could field roughly 100,000 men, most carrying modern rifles, supported by quick-firing artillery with trained crews. Italy had supplied the first large stock of rifles itself, and its own diplomacy had ensured it could not control what came after.</w:t>
      </w:r>
    </w:p>
    <w:p>
      <w:pPr>
        <w:pStyle w:val="Heading1"/>
        <w:spacing w:after="200" w:before="360"/>
      </w:pPr>
      <w:r>
        <w:rPr>
          <w:rFonts w:ascii="Georgia" w:cs="Georgia" w:eastAsia="Georgia" w:hAnsi="Georgia"/>
          <w:b/>
          <w:bCs/>
          <w:color w:val="1F3864"/>
          <w:sz w:val="30"/>
          <w:szCs w:val="30"/>
        </w:rPr>
        <w:t xml:space="preserve">The week both armies ran out of food</w:t>
      </w:r>
    </w:p>
    <w:p>
      <w:pPr>
        <w:spacing w:after="200" w:line="300"/>
      </w:pPr>
      <w:r>
        <w:rPr>
          <w:rFonts w:ascii="Georgia" w:cs="Georgia" w:eastAsia="Georgia" w:hAnsi="Georgia"/>
          <w:sz w:val="22"/>
          <w:szCs w:val="22"/>
        </w:rPr>
        <w:t>War came in 1895 and went briefly well for Italy before it turned. An Italian force of about 2,400 was wiped out at Amba Alagi in December, and the fort at Mekelle fell in January. By late February 1896 General Oreste Baratieri, governor of Eritrea, sat entrenched at Sauria with about 17,000 men, roughly half of them askari (Eritrean soldiers in Italian service), facing Menelik's army camped near Adwa.</w:t>
      </w:r>
    </w:p>
    <w:p>
      <w:pPr>
        <w:spacing w:after="200" w:line="300"/>
      </w:pPr>
      <w:r>
        <w:rPr>
          <w:rFonts w:ascii="Georgia" w:cs="Georgia" w:eastAsia="Georgia" w:hAnsi="Georgia"/>
          <w:sz w:val="22"/>
          <w:szCs w:val="22"/>
        </w:rPr>
        <w:t>Baratieri faced a hard choice. His supplies were nearly gone, his men were on half rations, and by his own accounting he could not hold the position past the first days of March. He also knew the enormous Ethiopian army had the same problem on a larger scale, since a hundred thousand men living off the land cannot stay concentrated for long, and Menelik was in fact preparing to move. Retreat was militarily sensible but politically explosive, and it risked the loyalty of the askari. Waiting was impossible. Rome was pressing him as well. On February 25 Prime Minister Francesco Crispi, who needed a victory for domestic reasons, cabled a message mocking the campaign as “a military phthisis” (consumption, a wasting disease) and all but calling him a coward. Unknown to Baratieri, his replacement had already been secretly dispatched. On February 28 he put the question to his four brigade commanders, and all four urged attack.</w:t>
      </w:r>
    </w:p>
    <w:p>
      <w:pPr>
        <w:spacing w:after="200" w:line="300"/>
      </w:pPr>
      <w:r>
        <w:rPr>
          <w:rFonts w:ascii="Georgia" w:cs="Georgia" w:eastAsia="Georgia" w:hAnsi="Georgia"/>
          <w:sz w:val="22"/>
          <w:szCs w:val="22"/>
        </w:rPr>
        <w:t>The night march that followed, over badly mapped mountains, went the way such marches tend to go. The Italian maps were sketchy and place-names ambiguous, and one brigade advanced miles beyond its intended position and was caught alone at dawn. The three separated columns were destroyed in detail on the morning of March 1. Around 6,000 men on the Italian side were killed (estimates run from 5,000 to 7,000), with some 1,500 wounded and 3,000 taken prisoner. Ethiopian losses were heavy too, perhaps 4,000 to 7,000 dead and as many as 10,000 wounded. Crispi's government fell within days. In October 1896 Italy signed the Treaty of Addis Ababa, annulling Wuchale and recognizing Ethiopia's full independence. That is why Ethiopia, almost alone in Africa, entered the twentieth century uncolonized.</w:t>
      </w:r>
    </w:p>
    <w:p>
      <w:pPr>
        <w:spacing w:after="240"/>
      </w:pPr>
      <w:r>
        <w:rPr>
          <w:rFonts w:ascii="Georgia" w:cs="Georgia" w:eastAsia="Georgia" w:hAnsi="Georgia"/>
          <w:i/>
          <w:iCs/>
          <w:color w:val="666666"/>
          <w:sz w:val="18"/>
          <w:szCs w:val="18"/>
        </w:rPr>
        <w:t xml:space="preserve">Strength and casualty figures follow Jonas (2011) and standard reference accounts; contemporary estimates vary, and the ranges above reflect that.</w:t>
      </w:r>
    </w:p>
    <w:p>
      <w:pPr>
        <w:spacing w:after="200" w:line="300"/>
      </w:pPr>
      <w:r>
        <w:rPr>
          <w:rFonts w:ascii="Georgia" w:cs="Georgia" w:eastAsia="Georgia" w:hAnsi="Georgia"/>
          <w:sz w:val="22"/>
          <w:szCs w:val="22"/>
        </w:rPr>
        <w:t>The final decision to attack was defensible, since every man in that tent could count the rations. The premise the whole campaign rested on was not: that an Ethiopian army could not stand against a European one. Italy held that belief while its own records showed a decade of rifle shipments to Menelik and its diplomats reported the French and Russian ones. The information was all there, but it was never added up.</w:t>
      </w:r>
    </w:p>
    <w:p>
      <w:pPr>
        <w:pStyle w:val="Heading1"/>
        <w:spacing w:after="200" w:before="360"/>
      </w:pPr>
      <w:r>
        <w:rPr>
          <w:rFonts w:ascii="Georgia" w:cs="Georgia" w:eastAsia="Georgia" w:hAnsi="Georgia"/>
          <w:b/>
          <w:bCs/>
          <w:color w:val="1F3864"/>
          <w:sz w:val="30"/>
          <w:szCs w:val="30"/>
        </w:rPr>
        <w:t xml:space="preserve">Takeaways</w:t>
      </w:r>
    </w:p>
    <w:p>
      <w:pPr>
        <w:spacing w:after="200" w:line="300"/>
      </w:pPr>
      <w:r>
        <w:rPr>
          <w:rFonts w:ascii="Georgia" w:cs="Georgia" w:eastAsia="Georgia" w:hAnsi="Georgia"/>
          <w:b/>
          <w:bCs/>
          <w:sz w:val="22"/>
          <w:szCs w:val="22"/>
        </w:rPr>
        <w:t>Why this matters:</w:t>
      </w:r>
      <w:r>
        <w:rPr>
          <w:rFonts w:ascii="Georgia" w:cs="Georgia" w:eastAsia="Georgia" w:hAnsi="Georgia"/>
          <w:sz w:val="22"/>
          <w:szCs w:val="22"/>
        </w:rPr>
        <w:t xml:space="preserve"> Two patterns combined at Adwa. Italy judged each transfer of arms and money one deal at a time (against Yohannes, for neutrality, to bind a client) and never against the growing stock held by a counterparty whose interests diverged from its own. And an ambiguity both sides found convenient to sign left their disagreement unresolved. It put the fight off until later, at stakes neither side controlled, and the delay favored the side that used the interval to get stronger.</w:t>
      </w:r>
    </w:p>
    <w:p>
      <w:pPr>
        <w:spacing w:after="20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structure appears wherever transfers such as dual-use technology or weapons for partners of convenience are approved sale by sale, with each license reasonable and nobody adding up the total. It also appears in contract clauses, ceasefire terms, and alliance commitments left deliberately vague so that both sides can sign. Such vagueness is not neutral, and it surfaces when the stakes are highest.</w:t>
      </w:r>
    </w:p>
    <w:p>
      <w:pPr>
        <w:spacing w:after="200" w:line="300"/>
      </w:pPr>
      <w:r>
        <w:rPr>
          <w:rFonts w:ascii="Georgia" w:cs="Georgia" w:eastAsia="Georgia" w:hAnsi="Georgia"/>
          <w:b/>
          <w:bCs/>
          <w:sz w:val="22"/>
          <w:szCs w:val="22"/>
        </w:rPr>
        <w:t>Where the lesson runs out:</w:t>
      </w:r>
      <w:r>
        <w:rPr>
          <w:rFonts w:ascii="Georgia" w:cs="Georgia" w:eastAsia="Georgia" w:hAnsi="Georgia"/>
          <w:sz w:val="22"/>
          <w:szCs w:val="22"/>
        </w:rPr>
        <w:t xml:space="preserve"> Arming a counterparty does not always backfire. It failed Italy because two conditions held. Menelik's long-term goals diverged from Rome's, and Italy had no lasting control over the supply, because rifles were commodity goods and France and Russia were happy to replace Italy as suppliers. Where interests stay aligned over time, or where the supplier keeps real control over ammunition, parts, and upgrades, the calculation is different. The deterrent Adwa created had a limit too. It secured Ethiopia's independence for a generation, until an adversary arrived in 1935 willing to pay a much higher price.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2026-09-18T19:12:19.651Z</dcterms:created>
  <dcterms:modified xsi:type="dcterms:W3CDTF">2026-09-18T19:12:19.651Z</dcterms:modified>
</cp:coreProperties>
</file>

<file path=docProps/custom.xml><?xml version="1.0" encoding="utf-8"?>
<Properties xmlns="http://schemas.openxmlformats.org/officeDocument/2006/custom-properties" xmlns:vt="http://schemas.openxmlformats.org/officeDocument/2006/docPropsVTypes"/>
</file>