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F3550"/>
          <w:sz w:val="44"/>
          <w:szCs w:val="44"/>
        </w:rPr>
        <w:t xml:space="preserve">The Proof Standard Was So Strict That Only Torture Could Satisfy It</w:t>
      </w:r>
    </w:p>
    <w:p>
      <w:pPr>
        <w:pBdr>
          <w:bottom w:val="single" w:color="1F3550" w:sz="6" w:space="8"/>
        </w:pBdr>
        <w:spacing w:after="360"/>
      </w:pPr>
      <w:r>
        <w:rPr>
          <w:rFonts w:ascii="Georgia" w:cs="Georgia" w:eastAsia="Georgia" w:hAnsi="Georgia"/>
          <w:i/>
          <w:iCs/>
          <w:color w:val="666666"/>
          <w:sz w:val="20"/>
          <w:szCs w:val="20"/>
        </w:rPr>
        <w:t xml:space="preserve">Learnings from History · September 20, 2026</w:t>
      </w:r>
    </w:p>
    <w:p>
      <w:pPr>
        <w:spacing w:after="200" w:line="300"/>
        <w:jc w:val="both"/>
      </w:pPr>
      <w:r>
        <w:rPr>
          <w:rFonts w:ascii="Georgia" w:cs="Georgia" w:eastAsia="Georgia" w:hAnsi="Georgia"/>
          <w:sz w:val="22"/>
          <w:szCs w:val="22"/>
        </w:rPr>
        <w:t>In 1215, Europe abolished trial by ordeal and had to invent a new way to decide guilt. Continental jurists chose the most cautious rule they could imagine: no one could be executed without two eyewitnesses or a confession. That safeguard, designed to protect defendants from arbitrary judges, became the legal foundation of judicial torture for the next five hundred years. The protection produced the abuse it was meant to prevent, and torture's eventual end came about differently from the way it is usually told.</w:t>
      </w:r>
    </w:p>
    <w:p>
      <w:pPr>
        <w:pStyle w:val="Heading1"/>
        <w:spacing w:after="200" w:before="360"/>
      </w:pPr>
      <w:r>
        <w:rPr>
          <w:rFonts w:ascii="Georgia" w:cs="Georgia" w:eastAsia="Georgia" w:hAnsi="Georgia"/>
          <w:b/>
          <w:bCs/>
          <w:color w:val="1F3550"/>
          <w:sz w:val="30"/>
          <w:szCs w:val="30"/>
        </w:rPr>
        <w:t xml:space="preserve">When God Stopped Judging, Someone Else Had To</w:t>
      </w:r>
    </w:p>
    <w:p>
      <w:pPr>
        <w:spacing w:after="200" w:line="300"/>
        <w:jc w:val="both"/>
      </w:pPr>
      <w:r>
        <w:rPr>
          <w:rFonts w:ascii="Georgia" w:cs="Georgia" w:eastAsia="Georgia" w:hAnsi="Georgia"/>
          <w:sz w:val="22"/>
          <w:szCs w:val="22"/>
        </w:rPr>
        <w:t xml:space="preserve">For centuries, serious criminal accusations in Europe were resolved by ordeal. The accused carried a hot iron or was lowered into blessed water, a priest presided, and the result was read as God's verdict. Whatever we think of it now, the ordeal solved a real problem: it produced a final answer that no human being had to take responsibility for. Then, in November 1215, the Fourth Lateran Council forbade priests from blessing ordeals. Without clerical participation the ritual lost its meaning, and within a generation the system collapsed across Latin Christendom.</w:t>
      </w:r>
    </w:p>
    <w:p>
      <w:pPr>
        <w:spacing w:after="260"/>
        <w:ind w:left="360"/>
      </w:pPr>
      <w:r>
        <w:rPr>
          <w:rFonts w:ascii="Georgia" w:cs="Georgia" w:eastAsia="Georgia" w:hAnsi="Georgia"/>
          <w:i/>
          <w:iCs/>
          <w:color w:val="666666"/>
          <w:sz w:val="18"/>
          <w:szCs w:val="18"/>
        </w:rPr>
        <w:t xml:space="preserve">Fourth Lateran Council, canon 18 (1215); Finbarr McAuley, “Canon Law and the End of the Ordeal,” Oxford Journal of Legal Studies 26 (2006).</w:t>
      </w:r>
    </w:p>
    <w:p>
      <w:pPr>
        <w:spacing w:after="200" w:line="300"/>
        <w:jc w:val="both"/>
      </w:pPr>
      <w:r>
        <w:rPr>
          <w:rFonts w:ascii="Georgia" w:cs="Georgia" w:eastAsia="Georgia" w:hAnsi="Georgia"/>
          <w:sz w:val="22"/>
          <w:szCs w:val="22"/>
        </w:rPr>
        <w:t>Every court in Europe now had to decide on what basis a human judge may condemn another human being to death. Two answers emerged. England handed the question to the jury, whose twelve neighbors delivered a verdict of guilty or not guilty and never had to explain it. The continent found that intolerably arbitrary. Its jurists, trained on rediscovered Roman law, wanted judgment bound by objective, checkable rules, so that no single judge's suspicion could kill a man. Religion added a further motive. Medieval judges took seriously the idea that condemning the innocent stained the judge's own soul, an anxiety the legal historian James Whitman has traced through the whole tradition. The safest design, they concluded, was to set the bar for conviction almost impossibly high.</w:t>
      </w:r>
    </w:p>
    <w:p>
      <w:pPr>
        <w:spacing w:after="260"/>
        <w:ind w:left="360"/>
      </w:pPr>
      <w:r>
        <w:rPr>
          <w:rFonts w:ascii="Georgia" w:cs="Georgia" w:eastAsia="Georgia" w:hAnsi="Georgia"/>
          <w:i/>
          <w:iCs/>
          <w:color w:val="666666"/>
          <w:sz w:val="18"/>
          <w:szCs w:val="18"/>
        </w:rPr>
        <w:t xml:space="preserve">John H. Langbein, Torture and the Law of Proof: Europe and England in the Ancien Régime (University of Chicago Press, 1977); James Q. Whitman, The Origins of Reasonable Doubt (Yale University Press, 2008).</w:t>
      </w:r>
    </w:p>
    <w:p>
      <w:pPr>
        <w:spacing w:after="200" w:line="300"/>
        <w:jc w:val="both"/>
      </w:pPr>
      <w:r>
        <w:rPr>
          <w:rFonts w:ascii="Georgia" w:cs="Georgia" w:eastAsia="Georgia" w:hAnsi="Georgia"/>
          <w:sz w:val="22"/>
          <w:szCs w:val="22"/>
        </w:rPr>
        <w:t>The result was the Roman-canon law of proof, worked out by Italian jurists in the thirteenth century and eventually governing capital trials from Spain to Poland. It had three rules. A court could convict of a capital crime on the testimony of two eyewitnesses to the act itself. Failing that, it could convict only on the accused's confession. And circumstantial evidence, however overwhelming, could never justify a death sentence. In Langbein's own example, a man seen running from the victim's house with a bloody dagger could not be executed for the murder on that evidence alone. Half the requirement, such as one eyewitness, was formally called half proof, and no accumulation of half proofs could ever add up to a whole one.</w:t>
      </w:r>
    </w:p>
    <w:p>
      <w:pPr>
        <w:spacing w:after="260"/>
        <w:ind w:left="360"/>
      </w:pPr>
      <w:r>
        <w:rPr>
          <w:rFonts w:ascii="Georgia" w:cs="Georgia" w:eastAsia="Georgia" w:hAnsi="Georgia"/>
          <w:i/>
          <w:iCs/>
          <w:color w:val="666666"/>
          <w:sz w:val="18"/>
          <w:szCs w:val="18"/>
        </w:rPr>
        <w:t xml:space="preserve">Langbein, Torture and the Law of Proof, ch. 1.</w:t>
      </w:r>
    </w:p>
    <w:p>
      <w:pPr>
        <w:pStyle w:val="Heading1"/>
        <w:spacing w:after="200" w:before="360"/>
      </w:pPr>
      <w:r>
        <w:rPr>
          <w:rFonts w:ascii="Georgia" w:cs="Georgia" w:eastAsia="Georgia" w:hAnsi="Georgia"/>
          <w:b/>
          <w:bCs/>
          <w:color w:val="1F3550"/>
          <w:sz w:val="30"/>
          <w:szCs w:val="30"/>
        </w:rPr>
        <w:t xml:space="preserve">The Safeguard's Escape Valve</w:t>
      </w:r>
    </w:p>
    <w:p>
      <w:pPr>
        <w:spacing w:after="200" w:line="300"/>
        <w:jc w:val="both"/>
      </w:pPr>
      <w:r>
        <w:rPr>
          <w:rFonts w:ascii="Georgia" w:cs="Georgia" w:eastAsia="Georgia" w:hAnsi="Georgia"/>
          <w:sz w:val="22"/>
          <w:szCs w:val="22"/>
        </w:rPr>
        <w:t>The design was coherent as a safeguard, but as a working system it had a fatal gap: most real crimes have no two eyewitnesses. A rule this strict would have let nearly every murderer and thief walk free, and no society was prepared to accept that. The two-witness rule could not be bent, but the confession rule could. If conviction required a confession, the system needed a lawful way to produce confessions, and judicial torture was that way.</w:t>
      </w:r>
    </w:p>
    <w:p>
      <w:pPr>
        <w:spacing w:after="200" w:line="300"/>
        <w:jc w:val="both"/>
      </w:pPr>
      <w:r>
        <w:rPr>
          <w:rFonts w:ascii="Georgia" w:cs="Georgia" w:eastAsia="Georgia" w:hAnsi="Georgia"/>
          <w:sz w:val="22"/>
          <w:szCs w:val="22"/>
        </w:rPr>
        <w:t>Judicial torture was fully legal, a regulated procedure with its own jurisprudence rather than a matter of a judge's whim. It was later codified in instruments like the Holy Roman Empire's Constitutio Criminalis Carolina of 1532 and France's Criminal Ordinance of 1670. A suspect could be tortured only if the evidence against him already amounted to half proof, meaning one eyewitness or grave enough circumstantial indications. A confession extracted under torture did not count by itself. The accused had to repeat it “freely” afterward, away from the chamber. If he recanted, he could in many jurisdictions be tortured again, since the recantation showed the confession had not yet been perfected. Careful lawyers wrote every one of these rules, and each made the next one necessary. Langbein's central finding is that European torture was how the most cautious proof standard ever adopted actually functioned, a procedure built to close the gap the safeguard itself had opened, rather than a residue of medieval barbarism.</w:t>
      </w:r>
    </w:p>
    <w:p>
      <w:pPr>
        <w:spacing w:after="260"/>
        <w:ind w:left="360"/>
      </w:pPr>
      <w:r>
        <w:rPr>
          <w:rFonts w:ascii="Georgia" w:cs="Georgia" w:eastAsia="Georgia" w:hAnsi="Georgia"/>
          <w:i/>
          <w:iCs/>
          <w:color w:val="666666"/>
          <w:sz w:val="18"/>
          <w:szCs w:val="18"/>
        </w:rPr>
        <w:t xml:space="preserve">Langbein, Torture and the Law of Proof; Constitutio Criminalis Carolina (1532).</w:t>
      </w:r>
    </w:p>
    <w:p>
      <w:pPr>
        <w:spacing w:after="200" w:line="300"/>
        <w:jc w:val="both"/>
      </w:pPr>
      <w:r>
        <w:rPr>
          <w:rFonts w:ascii="Georgia" w:cs="Georgia" w:eastAsia="Georgia" w:hAnsi="Georgia"/>
          <w:sz w:val="22"/>
          <w:szCs w:val="22"/>
        </w:rPr>
        <w:t>Contemporaries saw the flaw clearly. Critics from the sixteenth century onward pointed out that torture tested endurance rather than truth, since the hardened criminal held out while the innocent weakling confessed. Many of the judges who ran the system knew this. Within the rules they had, though, the alternatives were worse. They could acquit the plainly guilty, or convict on a judge's unverified say-so, which was the very evil the whole structure existed to prevent. A conscientious sixteenth-century judge, handed strong circumstantial evidence of murder and a legal system that forbade him to act on it, would order the torture the law prescribed. That is why the episode is worth studying and not only deploring.</w:t>
      </w:r>
    </w:p>
    <w:p>
      <w:pPr>
        <w:pStyle w:val="Heading1"/>
        <w:spacing w:after="200" w:before="360"/>
      </w:pPr>
      <w:r>
        <w:rPr>
          <w:rFonts w:ascii="Georgia" w:cs="Georgia" w:eastAsia="Georgia" w:hAnsi="Georgia"/>
          <w:b/>
          <w:bCs/>
          <w:color w:val="1F3550"/>
          <w:sz w:val="30"/>
          <w:szCs w:val="30"/>
        </w:rPr>
        <w:t>How Judicial Torture Ended</w:t>
      </w:r>
    </w:p>
    <w:p>
      <w:pPr>
        <w:spacing w:after="200" w:line="300"/>
        <w:jc w:val="both"/>
      </w:pPr>
      <w:r>
        <w:rPr>
          <w:rFonts w:ascii="Georgia" w:cs="Georgia" w:eastAsia="Georgia" w:hAnsi="Georgia"/>
          <w:sz w:val="22"/>
          <w:szCs w:val="22"/>
        </w:rPr>
        <w:t>The popular story of abolition is a moral awakening: Beccaria's On Crimes and Punishments in 1764, Voltaire's campaigns, and a shamed Europe repealing its torture statutes. The chronology does not fit. Frederick the Great abolished torture in Prussia in 1740 for nearly all cases and completely in 1754, a decade before Beccaria published. Langbein calls the Enlightenment account a “fairy tale,” which overstates it a little, since the philosophes plainly shaped the climate in which Austria (1776), France (1780 and 1788), and others followed. But the change that mattered most took place inside the law itself.</w:t>
      </w:r>
    </w:p>
    <w:p>
      <w:pPr>
        <w:spacing w:after="260"/>
        <w:ind w:left="360"/>
      </w:pPr>
      <w:r>
        <w:rPr>
          <w:rFonts w:ascii="Georgia" w:cs="Georgia" w:eastAsia="Georgia" w:hAnsi="Georgia"/>
          <w:i/>
          <w:iCs/>
          <w:color w:val="666666"/>
          <w:sz w:val="18"/>
          <w:szCs w:val="18"/>
        </w:rPr>
        <w:t xml:space="preserve">Langbein, Torture and the Law of Proof, pt. 2; Cesare Beccaria, Dei delitti e delle pene (1764).</w:t>
      </w:r>
    </w:p>
    <w:p>
      <w:pPr>
        <w:spacing w:after="200" w:line="300"/>
        <w:jc w:val="both"/>
      </w:pPr>
      <w:r>
        <w:rPr>
          <w:rFonts w:ascii="Georgia" w:cs="Georgia" w:eastAsia="Georgia" w:hAnsi="Georgia"/>
          <w:sz w:val="22"/>
          <w:szCs w:val="22"/>
        </w:rPr>
        <w:t>Over the sixteenth and seventeenth centuries, courts had developed a workaround called poena extraordinaria. Where full proof was lacking but circumstantial evidence was strong, the judge could impose a lesser, non-capital punishment (the galleys, imprisonment, banishment) on that evidence alone. Once this practice became routine, the confession requirement no longer decided anything important. A court that could send a man to the galleys for life on circumstantial evidence had no need to torture him for a confession. By the time the abolition decrees were signed, the statutes they repealed were largely obsolete. The kings took the credit for humanity, but working lawyers had already emptied torture of its purpose. It ended because Europe finally accepted what it had refused in 1215: that a human judge may weigh evidence and be trusted with the verdict.</w:t>
      </w:r>
    </w:p>
    <w:p>
      <w:pPr>
        <w:spacing w:after="260"/>
        <w:ind w:left="360"/>
      </w:pPr>
      <w:r>
        <w:rPr>
          <w:rFonts w:ascii="Georgia" w:cs="Georgia" w:eastAsia="Georgia" w:hAnsi="Georgia"/>
          <w:i/>
          <w:iCs/>
          <w:color w:val="666666"/>
          <w:sz w:val="18"/>
          <w:szCs w:val="18"/>
        </w:rPr>
        <w:t xml:space="preserve">Langbein, Torture and the Law of Proof, ch. 3.</w:t>
      </w:r>
    </w:p>
    <w:p>
      <w:pPr>
        <w:spacing w:after="200" w:line="300"/>
        <w:jc w:val="both"/>
      </w:pPr>
      <w:r>
        <w:rPr>
          <w:rFonts w:ascii="Georgia" w:cs="Georgia" w:eastAsia="Georgia" w:hAnsi="Georgia"/>
          <w:sz w:val="22"/>
          <w:szCs w:val="22"/>
        </w:rPr>
        <w:t>This account covers torture as an instrument of ordinary criminal procedure. It leaves out the separate worlds of heresy and witchcraft prosecution, where torture escaped many of its usual limits. Historians also continue to debate how often ordinary courts actually applied torture. Surviving records from several jurisdictions suggest it was rarer, and more often ended in release, than the statutes imply. England, meanwhile, was no island of purity. The Tudor and Stuart Privy Council issued roughly eighty-one torture warrants between the 1540s and 1640, though it did so outside the common-law courts, whose jury verdicts never needed a confession.</w:t>
      </w:r>
    </w:p>
    <w:p>
      <w:pPr>
        <w:spacing w:after="260"/>
        <w:ind w:left="360"/>
      </w:pPr>
      <w:r>
        <w:rPr>
          <w:rFonts w:ascii="Georgia" w:cs="Georgia" w:eastAsia="Georgia" w:hAnsi="Georgia"/>
          <w:i/>
          <w:iCs/>
          <w:color w:val="666666"/>
          <w:sz w:val="18"/>
          <w:szCs w:val="18"/>
        </w:rPr>
        <w:t xml:space="preserve">Langbein, Torture and the Law of Proof (on English torture warrants); John H. Langbein, “Torture and Plea Bargaining,” University of Chicago Law Review 46 (1978).</w:t>
      </w:r>
    </w:p>
    <w:p>
      <w:pPr>
        <w:pBdr>
          <w:top w:val="single" w:color="CCCCCC" w:sz="6" w:space="8"/>
        </w:pBdr>
        <w:spacing w:after="240" w:before="240"/>
      </w:pPr>
    </w:p>
    <w:p>
      <w:pPr>
        <w:spacing w:after="220" w:line="300"/>
        <w:jc w:val="both"/>
      </w:pPr>
      <w:r>
        <w:rPr>
          <w:rFonts w:ascii="Georgia" w:cs="Georgia" w:eastAsia="Georgia" w:hAnsi="Georgia"/>
          <w:b/>
          <w:bCs/>
          <w:sz w:val="22"/>
          <w:szCs w:val="22"/>
        </w:rPr>
        <w:t>Why this matters:</w:t>
      </w:r>
      <w:r>
        <w:rPr>
          <w:rFonts w:ascii="Georgia" w:cs="Georgia" w:eastAsia="Georgia" w:hAnsi="Georgia"/>
          <w:sz w:val="22"/>
          <w:szCs w:val="22"/>
        </w:rPr>
        <w:t xml:space="preserve"> A safeguard that sets an impossible standard produces workarounds instead of safety, and the workaround is often worse than the danger the safeguard was built against. The jurists of the thirteenth century, fearing arbitrary judges, built a rule so strict that it required institutionalized coercion to function at all. They were careful people, not cruel ones, and their system's character was set by its escape valve more than by its official standard.</w:t>
      </w:r>
    </w:p>
    <w:p>
      <w:pPr>
        <w:spacing w:after="220" w:line="300"/>
        <w:jc w:val="both"/>
      </w:pPr>
      <w:r>
        <w:rPr>
          <w:rFonts w:ascii="Georgia" w:cs="Georgia" w:eastAsia="Georgia" w:hAnsi="Georgia"/>
          <w:b/>
          <w:bCs/>
          <w:sz w:val="22"/>
          <w:szCs w:val="22"/>
        </w:rPr>
        <w:t>What this means today:</w:t>
      </w:r>
      <w:r>
        <w:rPr>
          <w:rFonts w:ascii="Georgia" w:cs="Georgia" w:eastAsia="Georgia" w:hAnsi="Georgia"/>
          <w:sz w:val="22"/>
          <w:szCs w:val="22"/>
        </w:rPr>
        <w:t xml:space="preserve"> Langbein himself drew the modern parallel with American plea bargaining. The full jury trial, with its elaborate protections, has become so costly that the system routinely pressures defendants to confess in exchange for lighter sentences. The result is condemnation without trial, running through the gap between the official standard and what the system can actually deliver. The pattern reaches beyond law. Wherever a compliance regime is too demanding to follow, look for the informal channel that handles most of the actual cases, because that is where the working rules are set and where the harm accumulates.</w:t>
      </w:r>
    </w:p>
    <w:p>
      <w:pPr>
        <w:spacing w:after="220" w:line="300"/>
        <w:jc w:val="both"/>
      </w:pPr>
      <w:r>
        <w:rPr>
          <w:rFonts w:ascii="Georgia" w:cs="Georgia" w:eastAsia="Georgia" w:hAnsi="Georgia"/>
          <w:b/>
          <w:bCs/>
          <w:sz w:val="22"/>
          <w:szCs w:val="22"/>
        </w:rPr>
        <w:t>Where the lesson runs out:</w:t>
      </w:r>
      <w:r>
        <w:rPr>
          <w:rFonts w:ascii="Georgia" w:cs="Georgia" w:eastAsia="Georgia" w:hAnsi="Georgia"/>
          <w:sz w:val="22"/>
          <w:szCs w:val="22"/>
        </w:rPr>
        <w:t xml:space="preserve"> The escape-valve pattern needs two conditions. The strict standard must be unmeetable in ordinary cases, and the institution must be unable to tolerate the outcomes the standard would produce. Where a demanding standard is merely inconvenient rather than unworkable, holding the line is often right, and this story does not refute drug-approval standards or reactor-safety cases. The medieval system failed because it was strict about the wrong thing. It distrusted human judgment so completely that it ended up letting pain decide verdicts.</w:t>
      </w:r>
    </w:p>
    <w:p>
      <w:pPr>
        <w:spacing w:after="260"/>
        <w:ind w:left="360"/>
      </w:pPr>
      <w:r>
        <w:rPr>
          <w:rFonts w:ascii="Georgia" w:cs="Georgia" w:eastAsia="Georgia" w:hAnsi="Georgia"/>
          <w:i/>
          <w:iCs/>
          <w:color w:val="666666"/>
          <w:sz w:val="18"/>
          <w:szCs w:val="18"/>
        </w:rPr>
        <w:t xml:space="preserve">Langbein, “Torture and Plea Bargaining,” University of Chicago Law Review 46 (1978).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2026-09-20T19:09:33.869Z</dcterms:created>
  <dcterms:modified xsi:type="dcterms:W3CDTF">2026-09-20T19:09:33.869Z</dcterms:modified>
</cp:coreProperties>
</file>

<file path=docProps/custom.xml><?xml version="1.0" encoding="utf-8"?>
<Properties xmlns="http://schemas.openxmlformats.org/officeDocument/2006/custom-properties" xmlns:vt="http://schemas.openxmlformats.org/officeDocument/2006/docPropsVTypes"/>
</file>