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Rome Answered the Same Question Both Ways, Then Forbade Anyone to Ask It Again</w:t>
      </w:r>
    </w:p>
    <w:p>
      <w:pPr>
        <w:pBdr>
          <w:bottom w:val="single" w:color="BFBFBF" w:sz="6" w:space="8"/>
        </w:pBdr>
        <w:spacing w:after="320"/>
      </w:pPr>
      <w:r>
        <w:rPr>
          <w:i/>
          <w:iCs/>
          <w:color w:val="595959"/>
        </w:rPr>
        <w:t xml:space="preserve">The Chinese Rites Controversy, 1643–1742, and its reversal in 1939 · Learnings from History · October 4, 2026</w:t>
      </w:r>
    </w:p>
    <w:p>
      <w:pPr>
        <w:pBdr>
          <w:left w:val="single" w:color="8A9BB0" w:sz="12" w:space="12"/>
        </w:pBdr>
        <w:spacing w:after="120" w:line="300"/>
        <w:ind w:left="360"/>
      </w:pPr>
      <w:r>
        <w:t xml:space="preserve">For a century the papacy tried to settle, from Rome, whether Chinese Christians who bowed before Confucius and their ancestors' tablets were committing idolatry. It ruled one way in 1645, the other way in 1656, said in 1669 that both rulings stood, and in 1704 chose a strict ban that it later made permanent and closed to debate. Each step was defensible on what Rome knew. The episode shows how an institution that cannot observe a practice ends up ruling on the reports about it, and why its natural remedy, one firm rule for everyone, can remove its ability to correct itself.</w:t>
      </w:r>
    </w:p>
    <w:p>
      <w:pPr>
        <w:pStyle w:val="Heading1"/>
      </w:pPr>
      <w:r>
        <w:t xml:space="preserve">What the Jesuits had allowed, and what was at stake</w:t>
      </w:r>
    </w:p>
    <w:p>
      <w:pPr>
        <w:pBdr>
          <w:left w:val="single" w:color="8A9BB0" w:sz="12" w:space="12"/>
        </w:pBdr>
        <w:spacing w:after="120" w:line="300"/>
        <w:ind w:left="360"/>
      </w:pPr>
      <w:r>
        <w:t xml:space="preserve">From the 1580s Matteo Ricci and the Jesuits who followed him allowed Chinese converts to keep two sets of practices. Scholars and officials could take part in the state ceremonies honoring Confucius, which degree holders were expected to attend. Families could keep ancestral tablets and perform the bows, food offerings, and incense that defined obligations to parents and lineage. The Jesuits argued that these rites were civil and commemorative, closer to honoring a founder than to worshipping a god. Without that permission, a scholar who converted would be cut off from his peers, and any convert would appear to abandon his parents.</w:t>
      </w:r>
    </w:p>
    <w:p>
      <w:pPr>
        <w:spacing w:after="240"/>
      </w:pPr>
      <w:r>
        <w:rPr>
          <w:color w:val="595959"/>
          <w:sz w:val="18"/>
          <w:szCs w:val="18"/>
        </w:rPr>
        <w:t xml:space="preserve">Sources: D. E. Mungello, ed., </w:t>
      </w:r>
      <w:r>
        <w:rPr>
          <w:i/>
          <w:iCs/>
          <w:color w:val="595959"/>
          <w:sz w:val="18"/>
          <w:szCs w:val="18"/>
        </w:rPr>
        <w:t xml:space="preserve">The Chinese Rites Controversy: Its History and Meaning</w:t>
      </w:r>
      <w:r>
        <w:rPr>
          <w:color w:val="595959"/>
          <w:sz w:val="18"/>
          <w:szCs w:val="18"/>
        </w:rPr>
        <w:t xml:space="preserve"> (1994); George Minamiki, </w:t>
      </w:r>
      <w:r>
        <w:rPr>
          <w:i/>
          <w:iCs/>
          <w:color w:val="595959"/>
          <w:sz w:val="18"/>
          <w:szCs w:val="18"/>
        </w:rPr>
        <w:t xml:space="preserve">The Chinese Rites Controversy from Its Beginning to Modern Times</w:t>
      </w:r>
      <w:r>
        <w:rPr>
          <w:color w:val="595959"/>
          <w:sz w:val="18"/>
          <w:szCs w:val="18"/>
        </w:rPr>
        <w:t xml:space="preserve"> (1985).</w:t>
      </w:r>
    </w:p>
    <w:p>
      <w:pPr>
        <w:pBdr>
          <w:left w:val="single" w:color="8A9BB0" w:sz="12" w:space="12"/>
        </w:pBdr>
        <w:spacing w:after="120" w:line="300"/>
        <w:ind w:left="360"/>
      </w:pPr>
      <w:r>
        <w:t xml:space="preserve">By the 1690s the approach appeared to be working. The Kangxi emperor issued an edict of toleration in 1692 that allowed Christians to practice openly, and around 1700 about 140 foreign missionaries from several orders were at work in China. The mission depended on that imperial goodwill, and the Jesuits, who served at court as astronomers and mapmakers, were the main reason it existed.</w:t>
      </w:r>
    </w:p>
    <w:p>
      <w:pPr>
        <w:spacing w:after="240"/>
      </w:pPr>
      <w:r>
        <w:rPr>
          <w:color w:val="595959"/>
          <w:sz w:val="18"/>
          <w:szCs w:val="18"/>
        </w:rPr>
        <w:t xml:space="preserve">Sources: "The Jesuit China Mission: A Brief History, Part I (1552–1800)," Jesuits in China (amdgchinese.org).</w:t>
      </w:r>
    </w:p>
    <w:p>
      <w:pPr>
        <w:pStyle w:val="Heading1"/>
      </w:pPr>
      <w:r>
        <w:t xml:space="preserve">Rome answered the question as each side framed it</w:t>
      </w:r>
    </w:p>
    <w:p>
      <w:pPr>
        <w:pBdr>
          <w:left w:val="single" w:color="8A9BB0" w:sz="12" w:space="12"/>
        </w:pBdr>
        <w:spacing w:after="120" w:line="300"/>
        <w:ind w:left="360"/>
      </w:pPr>
      <w:r>
        <w:t xml:space="preserve">The first ruling began with a complaint. In 1643 the Dominican Juan Bautista Morales, who had worked in Fujian, brought seventeen questions to Rome that described the rites as sacrifices and superstitions. On 12 September 1645 a decree approved by Innocent X forbade them "until His Holiness or the Holy See will provide otherwise." The Jesuits then sent Martino Martini, who described the same ceremonies as civil and political. On 23 March 1656 the Holy Office, under Alexander VII, accepted his description and allowed them. Asked in 1669 which decree governed, the Holy Office replied that both remained in force.</w:t>
      </w:r>
    </w:p>
    <w:p>
      <w:pPr>
        <w:spacing w:after="240"/>
      </w:pPr>
      <w:r>
        <w:rPr>
          <w:color w:val="595959"/>
          <w:sz w:val="18"/>
          <w:szCs w:val="18"/>
        </w:rPr>
        <w:t xml:space="preserve">Sources: "Chinese Rites Controversy," </w:t>
      </w:r>
      <w:r>
        <w:rPr>
          <w:i/>
          <w:iCs/>
          <w:color w:val="595959"/>
          <w:sz w:val="18"/>
          <w:szCs w:val="18"/>
        </w:rPr>
        <w:t xml:space="preserve">New Catholic Encyclopedia</w:t>
      </w:r>
      <w:r>
        <w:rPr>
          <w:color w:val="595959"/>
          <w:sz w:val="18"/>
          <w:szCs w:val="18"/>
        </w:rPr>
        <w:t xml:space="preserve">, via Encyclopedia.com; Minamiki (1985).</w:t>
      </w:r>
    </w:p>
    <w:p>
      <w:pPr>
        <w:pBdr>
          <w:left w:val="single" w:color="8A9BB0" w:sz="12" w:space="12"/>
        </w:pBdr>
        <w:spacing w:after="120" w:line="300"/>
        <w:ind w:left="360"/>
      </w:pPr>
      <w:r>
        <w:t xml:space="preserve">This was not confusion. Each decree answered the question as posed: if the rites are what Morales describes, they are forbidden, and if they are what Martini describes, they are allowed. The theology stayed consistent. What Rome could not do from Italy was decide which description was true. The consequence, which I am inferring from the sequence rather than citing, was that the dispute moved from doctrine onto the facts, and every order now had a reason to describe Chinese practice in the way that suited its own missionary method.</w:t>
      </w:r>
    </w:p>
    <w:p>
      <w:pPr>
        <w:pStyle w:val="Heading1"/>
      </w:pPr>
      <w:r>
        <w:t xml:space="preserve">What Clement XI had in front of him in 1704</w:t>
      </w:r>
    </w:p>
    <w:p>
      <w:pPr>
        <w:pBdr>
          <w:left w:val="single" w:color="8A9BB0" w:sz="12" w:space="12"/>
        </w:pBdr>
        <w:spacing w:after="120" w:line="300"/>
        <w:ind w:left="360"/>
      </w:pPr>
      <w:r>
        <w:t xml:space="preserve">The question came back in a sharper form. On 26 March 1693 Charles Maigrot, a priest of the Paris Foreign Missions Society serving as vicar apostolic of Fujian, forbade the rites in his territory, rejected the Chinese terms </w:t>
      </w:r>
      <w:r>
        <w:rPr>
          <w:i/>
          <w:iCs/>
        </w:rPr>
        <w:t xml:space="preserve">Tian</w:t>
      </w:r>
      <w:r>
        <w:t xml:space="preserve"> and </w:t>
      </w:r>
      <w:r>
        <w:rPr>
          <w:i/>
          <w:iCs/>
        </w:rPr>
        <w:t xml:space="preserve">Shangdi</w:t>
      </w:r>
      <w:r>
        <w:t xml:space="preserve"> for God, and sent his mandate to Rome for review. The Jesuits in Beijing answered with the most authoritative witness available. On 30 November 1700 they presented the Kangxi emperor with a statement that honoring Confucius was not a request for blessings and that ancestral tablets served to remember the dead, and the emperor endorsed it as correct.</w:t>
      </w:r>
    </w:p>
    <w:p>
      <w:pPr>
        <w:spacing w:after="240"/>
      </w:pPr>
      <w:r>
        <w:rPr>
          <w:color w:val="595959"/>
          <w:sz w:val="18"/>
          <w:szCs w:val="18"/>
        </w:rPr>
        <w:t xml:space="preserve">Sources: </w:t>
      </w:r>
      <w:r>
        <w:rPr>
          <w:i/>
          <w:iCs/>
          <w:color w:val="595959"/>
          <w:sz w:val="18"/>
          <w:szCs w:val="18"/>
        </w:rPr>
        <w:t xml:space="preserve">Biographical Dictionary of Chinese Christianity</w:t>
      </w:r>
      <w:r>
        <w:rPr>
          <w:color w:val="595959"/>
          <w:sz w:val="18"/>
          <w:szCs w:val="18"/>
        </w:rPr>
        <w:t xml:space="preserve">, "Maigrot, Charles"; Jeremiah Jenne, "The Rite Stuff," </w:t>
      </w:r>
      <w:r>
        <w:rPr>
          <w:i/>
          <w:iCs/>
          <w:color w:val="595959"/>
          <w:sz w:val="18"/>
          <w:szCs w:val="18"/>
        </w:rPr>
        <w:t xml:space="preserve">China Channel</w:t>
      </w:r>
      <w:r>
        <w:rPr>
          <w:color w:val="595959"/>
          <w:sz w:val="18"/>
          <w:szCs w:val="18"/>
        </w:rPr>
        <w:t xml:space="preserve"> (2018).</w:t>
      </w:r>
    </w:p>
    <w:p>
      <w:pPr>
        <w:pBdr>
          <w:left w:val="single" w:color="8A9BB0" w:sz="12" w:space="12"/>
        </w:pBdr>
        <w:spacing w:after="120" w:line="300"/>
        <w:ind w:left="360"/>
      </w:pPr>
      <w:r>
        <w:t xml:space="preserve">In Rome this evidence counted for little. Historians of the controversy, including Minamiki and the contributors to Mungello's volume, describe the Roman view that a non-Christian ruler could not decide what counted as Christian worship, and that going to him over the head of the Holy See was itself an offense. Chinese Christians also wrote. Nicolas Standaert has identified some 60 letters sent to Rome between 1701 and 1704 bearing about 430 signatures, which shows that converts argued the question themselves. How much weight those letters carried in the Holy Office's deliberations is a point I could not establish.</w:t>
      </w:r>
    </w:p>
    <w:p>
      <w:pPr>
        <w:spacing w:after="240"/>
      </w:pPr>
      <w:r>
        <w:rPr>
          <w:color w:val="595959"/>
          <w:sz w:val="18"/>
          <w:szCs w:val="18"/>
        </w:rPr>
        <w:t xml:space="preserve">Sources: Nicolas Standaert, </w:t>
      </w:r>
      <w:r>
        <w:rPr>
          <w:i/>
          <w:iCs/>
          <w:color w:val="595959"/>
          <w:sz w:val="18"/>
          <w:szCs w:val="18"/>
        </w:rPr>
        <w:t xml:space="preserve">Chinese Voices in the Rites Controversy</w:t>
      </w:r>
      <w:r>
        <w:rPr>
          <w:color w:val="595959"/>
          <w:sz w:val="18"/>
          <w:szCs w:val="18"/>
        </w:rPr>
        <w:t xml:space="preserve"> (2012), as summarized in his lecture at the Max Planck Institute for Legal History and Legal Theory; Mungello (1994).</w:t>
      </w:r>
    </w:p>
    <w:p>
      <w:pPr>
        <w:pBdr>
          <w:left w:val="single" w:color="8A9BB0" w:sz="12" w:space="12"/>
        </w:pBdr>
        <w:spacing w:after="120" w:line="300"/>
        <w:ind w:left="360"/>
      </w:pPr>
      <w:r>
        <w:t xml:space="preserve">Clement XI had three realistic options. He could keep the conditional rulings, which preserved flexibility but had already produced half a century of orders denouncing one another and left each missionary to decide the facts for himself. He could permit the rites, which would rest the Church's judgment on the Jesuits, an interested party, and on a non-Christian emperor. Or he could forbid them, which gave every missionary one rule and closed off any risk of idolatry, at the cost of making conversion much harder. From Rome the two possible errors were not equal. Permitting rites that were in fact idolatrous would endanger souls, a harm the Church's theology ranked above any loss of converts. Forbidding rites that were in fact civil would cost numbers. That weighing is my reconstruction, but it follows from the Church's own stated priorities. On 20 November 1704 Clement XI approved the decree </w:t>
      </w:r>
      <w:r>
        <w:rPr>
          <w:i/>
          <w:iCs/>
        </w:rPr>
        <w:t xml:space="preserve">Cum Deus optimus</w:t>
      </w:r>
      <w:r>
        <w:t xml:space="preserve">, which banned the rites.</w:t>
      </w:r>
    </w:p>
    <w:p>
      <w:pPr>
        <w:pStyle w:val="Heading1"/>
      </w:pPr>
      <w:r>
        <w:t xml:space="preserve">How the ban met the emperor</w:t>
      </w:r>
    </w:p>
    <w:p>
      <w:pPr>
        <w:pBdr>
          <w:left w:val="single" w:color="8A9BB0" w:sz="12" w:space="12"/>
        </w:pBdr>
        <w:spacing w:after="120" w:line="300"/>
        <w:ind w:left="360"/>
      </w:pPr>
      <w:r>
        <w:t xml:space="preserve">The legate sent to carry the decision to China, Charles-Thomas Maillard de Tournon, reached Beijing on 4 December 1705. Kangxi received him courteously until he understood the purpose of the mission, then required missionaries to promise to keep Ricci's practice or leave. In 1706 the emperor questioned Maigrot on the Chinese classics, and Maigrot's weak command of written Chinese convinced Kangxi that the man condemning the rites could not read the texts they rested on. Tournon published the ban at Nanjing on 25 January 1707, was sent to Macau and held there by the Portuguese authorities, and died in confinement on 8 June 1710.</w:t>
      </w:r>
    </w:p>
    <w:p>
      <w:pPr>
        <w:spacing w:after="240"/>
      </w:pPr>
      <w:r>
        <w:rPr>
          <w:color w:val="595959"/>
          <w:sz w:val="18"/>
          <w:szCs w:val="18"/>
        </w:rPr>
        <w:t xml:space="preserve">Sources: </w:t>
      </w:r>
      <w:r>
        <w:rPr>
          <w:i/>
          <w:iCs/>
          <w:color w:val="595959"/>
          <w:sz w:val="18"/>
          <w:szCs w:val="18"/>
        </w:rPr>
        <w:t xml:space="preserve">Biographical Dictionary of Chinese Christianity</w:t>
      </w:r>
      <w:r>
        <w:rPr>
          <w:color w:val="595959"/>
          <w:sz w:val="18"/>
          <w:szCs w:val="18"/>
        </w:rPr>
        <w:t xml:space="preserve">, "Maigrot, Charles"; "Charles-Thomas Maillard De Tournon," Wikipedia (dates checked against the </w:t>
      </w:r>
      <w:r>
        <w:rPr>
          <w:i/>
          <w:iCs/>
          <w:color w:val="595959"/>
          <w:sz w:val="18"/>
          <w:szCs w:val="18"/>
        </w:rPr>
        <w:t xml:space="preserve">New Catholic Encyclopedia</w:t>
      </w:r>
      <w:r>
        <w:rPr>
          <w:color w:val="595959"/>
          <w:sz w:val="18"/>
          <w:szCs w:val="18"/>
        </w:rPr>
        <w:t xml:space="preserve"> entry).</w:t>
      </w:r>
    </w:p>
    <w:p>
      <w:pPr>
        <w:pBdr>
          <w:left w:val="single" w:color="8A9BB0" w:sz="12" w:space="12"/>
        </w:pBdr>
        <w:spacing w:after="120" w:line="300"/>
        <w:ind w:left="360"/>
      </w:pPr>
      <w:r>
        <w:t xml:space="preserve">Clement XI made the ban formal in the bull </w:t>
      </w:r>
      <w:r>
        <w:rPr>
          <w:i/>
          <w:iCs/>
        </w:rPr>
        <w:t xml:space="preserve">Ex illa die</w:t>
      </w:r>
      <w:r>
        <w:t xml:space="preserve"> of 19 March 1715. When a second legate, Carlo Ambrogio Mezzabarba, presented it in Beijing in 1721, Kangxi wrote on the translation that he had never seen a document containing so much nonsense and that Westerners should no longer be allowed to preach in China, "to avoid further trouble." Mezzabarba then issued eight permissions that softened the ban, which added to the confusion. In 1724 the Yongzheng emperor proscribed Christianity outside the court. Historians treat the rites dispute as one contributor to that decision rather than its sole cause, alongside Yongzheng's suspicion that some missionaries had backed his rivals for the throne and his broader campaign against heterodox teachings. In July 1742 Benedict XIV's bull </w:t>
      </w:r>
      <w:r>
        <w:rPr>
          <w:i/>
          <w:iCs/>
        </w:rPr>
        <w:t xml:space="preserve">Ex quo singulari</w:t>
      </w:r>
      <w:r>
        <w:t xml:space="preserve"> annulled Mezzabarba's permissions, required every missionary in China to swear obedience to the ban, and forbade further discussion of the question.</w:t>
      </w:r>
    </w:p>
    <w:p>
      <w:pPr>
        <w:spacing w:after="240"/>
      </w:pPr>
      <w:r>
        <w:rPr>
          <w:color w:val="595959"/>
          <w:sz w:val="18"/>
          <w:szCs w:val="18"/>
        </w:rPr>
        <w:t xml:space="preserve">Sources: Jenne (2018), quoting Kangxi's 1721 comment in translation; </w:t>
      </w:r>
      <w:r>
        <w:rPr>
          <w:i/>
          <w:iCs/>
          <w:color w:val="595959"/>
          <w:sz w:val="18"/>
          <w:szCs w:val="18"/>
        </w:rPr>
        <w:t xml:space="preserve">New Catholic Encyclopedia</w:t>
      </w:r>
      <w:r>
        <w:rPr>
          <w:color w:val="595959"/>
          <w:sz w:val="18"/>
          <w:szCs w:val="18"/>
        </w:rPr>
        <w:t xml:space="preserve">; "The Christian Conundrum of Yongzheng," </w:t>
      </w:r>
      <w:r>
        <w:rPr>
          <w:i/>
          <w:iCs/>
          <w:color w:val="595959"/>
          <w:sz w:val="18"/>
          <w:szCs w:val="18"/>
        </w:rPr>
        <w:t xml:space="preserve">China Heritage</w:t>
      </w:r>
      <w:r>
        <w:rPr>
          <w:color w:val="595959"/>
          <w:sz w:val="18"/>
          <w:szCs w:val="18"/>
        </w:rPr>
        <w:t xml:space="preserve">.</w:t>
      </w:r>
    </w:p>
    <w:p>
      <w:pPr>
        <w:pBdr>
          <w:left w:val="single" w:color="8A9BB0" w:sz="12" w:space="12"/>
        </w:pBdr>
        <w:spacing w:after="120" w:line="300"/>
        <w:ind w:left="360"/>
      </w:pPr>
      <w:r>
        <w:t xml:space="preserve">The popular version of the story ends here, with a narrow-minded papacy throwing China away. The scholarship differs on two points. Christianity did not vanish after 1724: communities survived the proscription, as Eugenio Menegon's study of the Dominican mission in Fu'an, Fujian, documents. And the ban was not a product of ignorance. Rome had heard both descriptions for sixty years and chose the stricter one for reasons it could state.</w:t>
      </w:r>
    </w:p>
    <w:p>
      <w:pPr>
        <w:spacing w:after="240"/>
      </w:pPr>
      <w:r>
        <w:rPr>
          <w:color w:val="595959"/>
          <w:sz w:val="18"/>
          <w:szCs w:val="18"/>
        </w:rPr>
        <w:t xml:space="preserve">Sources: Eugenio Menegon, </w:t>
      </w:r>
      <w:r>
        <w:rPr>
          <w:i/>
          <w:iCs/>
          <w:color w:val="595959"/>
          <w:sz w:val="18"/>
          <w:szCs w:val="18"/>
        </w:rPr>
        <w:t xml:space="preserve">Ancestors, Virgins, and Friars: Christianity as a Local Religion in Late Imperial China</w:t>
      </w:r>
      <w:r>
        <w:rPr>
          <w:color w:val="595959"/>
          <w:sz w:val="18"/>
          <w:szCs w:val="18"/>
        </w:rPr>
        <w:t xml:space="preserve"> (2009).</w:t>
      </w:r>
    </w:p>
    <w:p>
      <w:pPr>
        <w:pStyle w:val="Heading1"/>
      </w:pPr>
      <w:r>
        <w:t xml:space="preserve">The reversal accepted the kind of evidence Rome had refused</w:t>
      </w:r>
    </w:p>
    <w:p>
      <w:pPr>
        <w:pBdr>
          <w:left w:val="single" w:color="8A9BB0" w:sz="12" w:space="12"/>
        </w:pBdr>
        <w:spacing w:after="120" w:line="300"/>
        <w:ind w:left="360"/>
      </w:pPr>
      <w:r>
        <w:t xml:space="preserve">The question stayed closed for almost two centuries and reopened in Manchuria. When the Japanese-sponsored state of Manchukuo required Confucian ceremonies, the local bishop, Auguste Gaspais, asked its Ministry of Education whether they were religious. The ministry answered that they had no religious significance, and in May 1935 Rome allowed Catholics there to take part. A comparable instruction for Japan followed on 26 May 1936. On 8 December 1939 the Congregation for the Propagation of the Faith, under Pius XII, issued </w:t>
      </w:r>
      <w:r>
        <w:rPr>
          <w:i/>
          <w:iCs/>
        </w:rPr>
        <w:t xml:space="preserve">Plane compertum est</w:t>
      </w:r>
      <w:r>
        <w:t xml:space="preserve">, which allowed the ceremonies on the ground that over the centuries they had come to carry only civil meaning.</w:t>
      </w:r>
    </w:p>
    <w:p>
      <w:pPr>
        <w:spacing w:after="240"/>
      </w:pPr>
      <w:r>
        <w:rPr>
          <w:color w:val="595959"/>
          <w:sz w:val="18"/>
          <w:szCs w:val="18"/>
        </w:rPr>
        <w:t xml:space="preserve">Sources: </w:t>
      </w:r>
      <w:r>
        <w:rPr>
          <w:i/>
          <w:iCs/>
          <w:color w:val="595959"/>
          <w:sz w:val="18"/>
          <w:szCs w:val="18"/>
        </w:rPr>
        <w:t xml:space="preserve">Biographical Dictionary of Chinese Christianity</w:t>
      </w:r>
      <w:r>
        <w:rPr>
          <w:color w:val="595959"/>
          <w:sz w:val="18"/>
          <w:szCs w:val="18"/>
        </w:rPr>
        <w:t xml:space="preserve">, "Gaspais, Auguste Ernest"; </w:t>
      </w:r>
      <w:r>
        <w:rPr>
          <w:i/>
          <w:iCs/>
          <w:color w:val="595959"/>
          <w:sz w:val="18"/>
          <w:szCs w:val="18"/>
        </w:rPr>
        <w:t xml:space="preserve">New Catholic Encyclopedia</w:t>
      </w:r>
      <w:r>
        <w:rPr>
          <w:color w:val="595959"/>
          <w:sz w:val="18"/>
          <w:szCs w:val="18"/>
        </w:rPr>
        <w:t xml:space="preserve">.</w:t>
      </w:r>
    </w:p>
    <w:p>
      <w:pPr>
        <w:pBdr>
          <w:left w:val="single" w:color="8A9BB0" w:sz="12" w:space="12"/>
        </w:pBdr>
        <w:spacing w:after="120" w:line="300"/>
        <w:ind w:left="360"/>
      </w:pPr>
      <w:r>
        <w:t xml:space="preserve">The record supports two readings of the reversal. On Rome's own account the rites had changed, so the 1704 ban was right for its time. On another reading, what changed was Rome's willingness to accept a particular witness. In 1700 an emperor's statement that the rites were civil was set aside, and in 1935 a government's statement that they were civil was accepted. The second reading is my inference. It does not rule out the first, because Confucian ceremony under a modern state did mean something different from what it meant at the Qing court.</w:t>
      </w:r>
    </w:p>
    <w:p>
      <w:pPr>
        <w:pStyle w:val="Heading1"/>
      </w:pPr>
      <w:r>
        <w:t xml:space="preserve">Why the pattern recurs, and where it stops</w:t>
      </w:r>
    </w:p>
    <w:p>
      <w:pPr>
        <w:pBdr>
          <w:left w:val="single" w:color="8A9BB0" w:sz="12" w:space="12"/>
        </w:pBdr>
        <w:spacing w:after="120" w:line="300"/>
        <w:ind w:left="360"/>
      </w:pPr>
      <w:r>
        <w:t xml:space="preserve">The same structure appears wherever a central authority rules on practices it cannot see for itself: a head office setting conduct rules for distant subsidiaries, a regulator deciding what a local commercial custom amounts to, a court judging conduct in a community unlike the judges' own. The authority receives descriptions from parties with a stake in the answer. A conditional rule respects the uncertainty but turns every case into a contest over facts. A universal rule ends the contest, but if the practice varies by place or changes over time, the rule will be wrong somewhere. A rule that also forbids discussion closes the channel through which that error could be reported.</w:t>
      </w:r>
    </w:p>
    <w:p>
      <w:pPr>
        <w:pBdr>
          <w:left w:val="single" w:color="8A9BB0" w:sz="12" w:space="12"/>
        </w:pBdr>
        <w:spacing w:after="120" w:line="300"/>
        <w:ind w:left="360"/>
      </w:pPr>
      <w:r>
        <w:t xml:space="preserve">The lesson has limits. Local discretion can be captured by the people exercising it, which is what Rome feared and partly watched happen among the orders. Some practices do mean the same thing everywhere, and a universal ruling on them loses nothing. And an institution can be right to accept heavy losses to protect a core commitment. A church that judged the rites idolatrous was right to refuse them whatever the cost in converts. The episode argues against freezing a factual judgment, not against holding a firm doctrine.</w:t>
      </w:r>
    </w:p>
    <w:p>
      <w:pPr>
        <w:pStyle w:val="Heading1"/>
      </w:pPr>
      <w:r>
        <w:t xml:space="preserve">Key takeaways</w:t>
      </w:r>
    </w:p>
    <w:p>
      <w:pPr>
        <w:pStyle w:val="ListParagraph"/>
        <w:numPr>
          <w:ilvl w:val="0"/>
          <w:numId w:val="2"/>
        </w:numPr>
        <w:spacing w:after="100" w:line="290"/>
      </w:pPr>
      <w:r>
        <w:t xml:space="preserve">When an authority rules "if the facts are X, then Y," the fight moves to the facts. Ask who supplies them and what each supplier gains from each version.</w:t>
      </w:r>
    </w:p>
    <w:p>
      <w:pPr>
        <w:pStyle w:val="ListParagraph"/>
        <w:numPr>
          <w:ilvl w:val="0"/>
          <w:numId w:val="2"/>
        </w:numPr>
        <w:spacing w:after="100" w:line="290"/>
      </w:pPr>
      <w:r>
        <w:t xml:space="preserve">Unequal errors pull decisions toward strictness. Before accepting that pull, check whether the error the institution fears most is also the one it can see best.</w:t>
      </w:r>
    </w:p>
    <w:p>
      <w:pPr>
        <w:pStyle w:val="ListParagraph"/>
        <w:numPr>
          <w:ilvl w:val="0"/>
          <w:numId w:val="2"/>
        </w:numPr>
        <w:spacing w:after="100" w:line="290"/>
      </w:pPr>
      <w:r>
        <w:t xml:space="preserve">Judgments about what a practice means go out of date. Forbidding discussion of such a judgment is costly, because it removes the means of learning that the facts have changed.</w:t>
      </w:r>
    </w:p>
    <w:p>
      <w:pPr>
        <w:pStyle w:val="ListParagraph"/>
        <w:numPr>
          <w:ilvl w:val="0"/>
          <w:numId w:val="2"/>
        </w:numPr>
        <w:spacing w:after="100" w:line="290"/>
      </w:pPr>
      <w:r>
        <w:t xml:space="preserve">Who is allowed to testify can matter as much as what they say. Rome rejected a ruler's word in 1700 and accepted a government's word in 1935.</w:t>
      </w:r>
    </w:p>
    <w:p>
      <w:pPr>
        <w:pStyle w:val="ListParagraph"/>
        <w:numPr>
          <w:ilvl w:val="0"/>
          <w:numId w:val="2"/>
        </w:numPr>
        <w:spacing w:after="100" w:line="290"/>
      </w:pPr>
      <w:r>
        <w:t xml:space="preserve">The lesson does not hold where local discretion is already captured by interested parties or where a practice means the same thing everywhere. There a firm central rule is the better choice despite its rigidity.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spacing w:after="160" w:before="360"/>
      <w:outlineLvl w:val="0"/>
    </w:pPr>
    <w:rPr>
      <w:rFonts w:ascii="Georgia" w:cs="Georgia" w:eastAsia="Georgia" w:hAnsi="Georgia"/>
      <w:b/>
      <w:bCs/>
      <w:color w:val="1F2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2026-10-05T00:28:52.223Z</dcterms:created>
  <dcterms:modified xsi:type="dcterms:W3CDTF">2026-10-05T00:28:52.232Z</dcterms:modified>
</cp:coreProperties>
</file>

<file path=docProps/custom.xml><?xml version="1.0" encoding="utf-8"?>
<Properties xmlns="http://schemas.openxmlformats.org/officeDocument/2006/custom-properties" xmlns:vt="http://schemas.openxmlformats.org/officeDocument/2006/docPropsVTypes"/>
</file>