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Japan Turned Loyalty Into a Commute and Accidentally Built a National Market</w:t>
      </w:r>
    </w:p>
    <w:p>
      <w:pPr>
        <w:spacing w:after="320"/>
      </w:pPr>
      <w:r>
        <w:rPr>
          <w:i/>
          <w:iCs/>
          <w:color w:val="666666"/>
          <w:sz w:val="20"/>
          <w:szCs w:val="20"/>
        </w:rPr>
        <w:t xml:space="preserve">An explanation of the July 20, 2026 Learnings from History briefing</w:t>
      </w:r>
    </w:p>
    <w:p>
      <w:pPr>
        <w:spacing w:after="180" w:line="300"/>
      </w:pPr>
      <w:r>
        <w:rPr>
          <w:sz w:val="22"/>
          <w:szCs w:val="22"/>
        </w:rPr>
        <w:t>For more than two centuries after 1600, Japan had no civil war. That is surprising, because the country was still divided among roughly 250 semi-independent lords who kept their own armies, taxes, and castles. The Tokugawa shoguns never conquered or replaced them. Instead they made every lord commute, and that schedule did more than any army to hold the peace together.</w:t>
      </w:r>
    </w:p>
    <w:p>
      <w:pPr>
        <w:pStyle w:val="Heading1"/>
        <w:spacing w:after="140" w:before="320"/>
      </w:pPr>
      <w:r>
        <w:t xml:space="preserve">Winning the war did not give the shogun a country</w:t>
      </w:r>
    </w:p>
    <w:p>
      <w:pPr>
        <w:spacing w:after="180" w:line="300"/>
      </w:pPr>
      <w:r>
        <w:rPr>
          <w:sz w:val="22"/>
          <w:szCs w:val="22"/>
        </w:rPr>
        <w:t>Tokugawa Ieyasu won the decisive battle at Sekigahara in 1600 and finished off his last serious rivals at Osaka in 1615. Those victories gave him supremacy but left him without a state. The regional lords, called daimyo, went on governing their territories with their own warriors and their own tax systems. The shogunate held the biggest and most strategic lands, and it could confirm, move, or confiscate a domain. Most ordinary people in Japan, though, were governed by their local lord rather than by Edo.</w:t>
      </w:r>
    </w:p>
    <w:p>
      <w:pPr>
        <w:spacing w:after="200"/>
      </w:pPr>
      <w:r>
        <w:rPr>
          <w:i/>
          <w:iCs/>
          <w:color w:val="666666"/>
          <w:sz w:val="18"/>
          <w:szCs w:val="18"/>
        </w:rPr>
        <w:t xml:space="preserve">Source: Columbia University, Asia for Educators — “Tokugawa Japan: Political Order”</w:t>
      </w:r>
    </w:p>
    <w:p>
      <w:pPr>
        <w:spacing w:after="180" w:line="300"/>
      </w:pPr>
      <w:r>
        <w:rPr>
          <w:sz w:val="22"/>
          <w:szCs w:val="22"/>
        </w:rPr>
        <w:t>This left the shogunate with a hard information problem. From Edo it could not tell a lord repairing a castle from a lord preparing to fight, and a marriage between two domains might be a family matter or the first move of a coalition. The 1615 Laws for the Military Houses show the anxiety directly. They restricted castle building, required approval for political marriages, and told warriors not to assume peace was permanent. The shogunate could not rule the domains directly, because it had nothing like the bureaucracy that would have required. Leaving them alone would have recreated the very conditions that had produced a century of war.</w:t>
      </w:r>
    </w:p>
    <w:p>
      <w:pPr>
        <w:spacing w:after="200"/>
      </w:pPr>
      <w:r>
        <w:rPr>
          <w:i/>
          <w:iCs/>
          <w:color w:val="666666"/>
          <w:sz w:val="18"/>
          <w:szCs w:val="18"/>
        </w:rPr>
        <w:t xml:space="preserve">Source: Columbia University, Asia for Educators — primary-source excerpts from the 1615 Laws for the Military Houses</w:t>
      </w:r>
    </w:p>
    <w:p>
      <w:pPr>
        <w:pStyle w:val="Heading1"/>
        <w:spacing w:after="140" w:before="320"/>
      </w:pPr>
      <w:r>
        <w:t>How alternate attendance worked</w:t>
      </w:r>
    </w:p>
    <w:p>
      <w:pPr>
        <w:spacing w:after="180" w:line="300"/>
      </w:pPr>
      <w:r>
        <w:rPr>
          <w:sz w:val="22"/>
          <w:szCs w:val="22"/>
        </w:rPr>
        <w:t>In 1635 the third shogun, Tokugawa Iemitsu, rewrote the military-house laws to make attendance at Edo an explicit, regular obligation for the outside lords. The Tokugawa family's own hereditary vassals were brought under similar rules in the 1640s. The system is called sankin kotai, usually translated as alternate attendance. Each lord spent roughly one year in Edo and the next in his own domain, traveling with a retinue, keeping a household in both places, and appearing at the shogun's court. His wife and heir stayed in Edo permanently.</w:t>
      </w:r>
    </w:p>
    <w:p>
      <w:pPr>
        <w:spacing w:after="200"/>
      </w:pPr>
      <w:r>
        <w:rPr>
          <w:i/>
          <w:iCs/>
          <w:color w:val="666666"/>
          <w:sz w:val="18"/>
          <w:szCs w:val="18"/>
        </w:rPr>
        <w:t xml:space="preserve">Sources: Japan Society, “The Polity of the Tokugawa Era”; Constantine N. Vaporis, Tour of Duty (Oxford Academic); Nippon.com, “All Roads Lead to Edo”</w:t>
      </w:r>
    </w:p>
    <w:p>
      <w:pPr>
        <w:spacing w:after="180" w:line="300"/>
      </w:pPr>
      <w:r>
        <w:rPr>
          <w:sz w:val="22"/>
          <w:szCs w:val="22"/>
        </w:rPr>
        <w:t>It is tempting to call this hostage-taking, and the hostages were real. More interesting is what the schedule did to information. Behind his own borders, a lord's behavior was invisible and therefore frightening. On the road to Edo it was public and repeatable: when he arrived, how large his procession was, whether he appeared at court, how much he spent, and whether his family was where it was supposed to be. What had been uncertain became routine, and a routine can be compared from one year to the next. The briefing is careful to present this as an inference about how the institution was designed, and it is right to be. It does not claim that the Tokugawa ran anything resembling perfect surveillance.</w:t>
      </w:r>
    </w:p>
    <w:p>
      <w:pPr>
        <w:spacing w:after="180" w:line="300"/>
      </w:pPr>
      <w:r>
        <w:rPr>
          <w:sz w:val="22"/>
          <w:szCs w:val="22"/>
        </w:rPr>
        <w:t>The lords went along with the system because it never made them irrelevant. Alternate attendance was expensive, and in some readings humiliating, but a lord's domain still supplied his income, his status, and the administrative machinery that paid for his life in Edo. Rebekah Clements's work on the Shimazu lords of Satsuma shows the procession doing double duty. Before joining the highway to Edo, the lord toured his own territory, receiving submission, holding audiences, and displaying dominance. The same journey said “I serve the shogun” and “I rule here.” That ambiguity was what made participation pay.</w:t>
      </w:r>
    </w:p>
    <w:p>
      <w:pPr>
        <w:spacing w:after="200"/>
      </w:pPr>
      <w:r>
        <w:rPr>
          <w:i/>
          <w:iCs/>
          <w:color w:val="666666"/>
          <w:sz w:val="18"/>
          <w:szCs w:val="18"/>
        </w:rPr>
        <w:t xml:space="preserve">Source: Rebekah Clements, “Alternate Attendance Parades in the Japanese Domain of Satsuma” (Cambridge University Press)</w:t>
      </w:r>
    </w:p>
    <w:p>
      <w:pPr>
        <w:pStyle w:val="Heading1"/>
        <w:spacing w:after="140" w:before="320"/>
      </w:pPr>
      <w:r>
        <w:t xml:space="preserve">A security ritual quietly built a national economy</w:t>
      </w:r>
    </w:p>
    <w:p>
      <w:pPr>
        <w:spacing w:after="180" w:line="300"/>
      </w:pPr>
      <w:r>
        <w:rPr>
          <w:sz w:val="22"/>
          <w:szCs w:val="22"/>
        </w:rPr>
        <w:t>The shogunate's aim was political: to keep potential rivals close, busy, visible, and short of cash. The side effects were much larger. Hundreds of domain households, moving on a fixed schedule, needed food, lodging, transport, clothing, and credit in Edo and at every stop along the way. Rice revenue had to be converted into money, largely through Osaka. Merchants became financiers to lords. Post towns grew up to serve the traffic, and in the compiled early-modern record Japan's transport ministry lists 57 stations and over 3,000 ordinary inns on the Tokaido highway alone. Alternate attendance did not invent Japanese commerce, but it guaranteed enormous, recurring demand across domain borders for decades.</w:t>
      </w:r>
    </w:p>
    <w:p>
      <w:pPr>
        <w:spacing w:after="200"/>
      </w:pPr>
      <w:r>
        <w:rPr>
          <w:i/>
          <w:iCs/>
          <w:color w:val="666666"/>
          <w:sz w:val="18"/>
          <w:szCs w:val="18"/>
        </w:rPr>
        <w:t xml:space="preserve">Sources: Japan Ministry of Land, Infrastructure, Transport and Tourism, Part I; Oxford Research Encyclopedia of Asian History, “Domestic Commerce during the Tokugawa Period”</w:t>
      </w:r>
    </w:p>
    <w:p>
      <w:pPr>
        <w:spacing w:after="180" w:line="300"/>
      </w:pPr>
      <w:r>
        <w:rPr>
          <w:sz w:val="22"/>
          <w:szCs w:val="22"/>
        </w:rPr>
        <w:t>The same traffic drew the country's elite culture together. Columbia historian Henry Smith notes that later daimyo were frequently born and raised in Edo, and that large numbers of samurai effectively commuted between the capital and their home domains. Heirs who grew up in Edo learned the same court conventions. Retainers carried fashions, techniques, scholarship, and gossip back and forth. Lords who might otherwise never have met built relationships inside a shared ceremonial order. A system built to prevent conspiracy ended up producing a national elite.</w:t>
      </w:r>
    </w:p>
    <w:p>
      <w:pPr>
        <w:spacing w:after="200"/>
      </w:pPr>
      <w:r>
        <w:rPr>
          <w:i/>
          <w:iCs/>
          <w:color w:val="666666"/>
          <w:sz w:val="18"/>
          <w:szCs w:val="18"/>
        </w:rPr>
        <w:t xml:space="preserve">Source: Columbia University, Asia for Educators — “Tokugawa Japan: Political Order”</w:t>
      </w:r>
    </w:p>
    <w:p>
      <w:pPr>
        <w:pStyle w:val="Heading1"/>
        <w:spacing w:after="140" w:before="320"/>
      </w:pPr>
      <w:r>
        <w:t>Who paid, and what else kept the peace</w:t>
      </w:r>
    </w:p>
    <w:p>
      <w:pPr>
        <w:spacing w:after="180" w:line="300"/>
      </w:pPr>
      <w:r>
        <w:rPr>
          <w:sz w:val="22"/>
          <w:szCs w:val="22"/>
        </w:rPr>
        <w:t>The costs did not stop at the top, and this part of the story should not be skipped. The system stabilized the elite by pushing the price of that stability down onto people who had no say in it. Peasants maintained the roads, hauled baggage, supplied horses, and paid levies. Retainers had chunks of their stipends taken as forced loans. Families spent years apart. Economic historians find that distant domains bore heavier attendance costs and sometimes taxed their people more to cover them.</w:t>
      </w:r>
    </w:p>
    <w:p>
      <w:pPr>
        <w:spacing w:after="200"/>
      </w:pPr>
      <w:r>
        <w:rPr>
          <w:i/>
          <w:iCs/>
          <w:color w:val="666666"/>
          <w:sz w:val="18"/>
          <w:szCs w:val="18"/>
        </w:rPr>
        <w:t xml:space="preserve">Sources: Constantine N. Vaporis, “Assignment: Edo”; Susan B. Hanley and Kozo Yamamura, “Toward a Reexamination of the Economic History of Tokugawa Japan” (Cambridge University Press)</w:t>
      </w:r>
    </w:p>
    <w:p>
      <w:pPr>
        <w:spacing w:after="180" w:line="300"/>
      </w:pPr>
      <w:r>
        <w:rPr>
          <w:sz w:val="22"/>
          <w:szCs w:val="22"/>
        </w:rPr>
        <w:t>Historians also do not credit alternate attendance alone for the long peace. The Tokugawa settlement redistributed land, capped castles, controlled marriages, monopolized foreign policy, and froze social status, all at once, and Japan was exhausted after a century of fighting. Jennifer Amyx argues against a purely coercive reading. She describes the institution as a device that made commitments credible and gave both sides a stake in keeping the peace. Her reading strengthens the briefing's point, because on her account the system did more than drain rivals. It bound them into an arrangement they benefited from.</w:t>
      </w:r>
    </w:p>
    <w:p>
      <w:pPr>
        <w:spacing w:after="200"/>
      </w:pPr>
      <w:r>
        <w:rPr>
          <w:i/>
          <w:iCs/>
          <w:color w:val="666666"/>
          <w:sz w:val="18"/>
          <w:szCs w:val="18"/>
        </w:rPr>
        <w:t xml:space="preserve">Source: Jennifer Amyx, “Sankin Kotai: Institutionalized Trust as the Foundation for Economic Development in the Tokugawa Era” (Stanford Asia-Pacific Research Center)</w:t>
      </w:r>
    </w:p>
    <w:p>
      <w:pPr>
        <w:pStyle w:val="Heading1"/>
        <w:spacing w:after="140" w:before="320"/>
      </w:pPr>
      <w:r>
        <w:t>What carries over, and under what conditions</w:t>
      </w:r>
    </w:p>
    <w:p>
      <w:pPr>
        <w:spacing w:after="180" w:line="300"/>
      </w:pPr>
      <w:r>
        <w:rPr>
          <w:sz w:val="22"/>
          <w:szCs w:val="22"/>
        </w:rPr>
        <w:t>The briefing draws a sharp lesson. When you cannot trust people and cannot eliminate them, build a repeated forum where keeping your status requires showing up and contributing visibly. What transfers is not “make your rivals waste money.” It is the replacement of occasional loyalty tests with a predictable routine that reveals several things at once: presence, performance, relationships, and investment in shared infrastructure. Defection gets harder to hide, and everyone gains a reason to keep the system going.</w:t>
      </w:r>
    </w:p>
    <w:p>
      <w:pPr>
        <w:spacing w:after="180" w:line="300"/>
      </w:pPr>
      <w:r>
        <w:rPr>
          <w:sz w:val="22"/>
          <w:szCs w:val="22"/>
        </w:rPr>
        <w:t>The limits matter as much as the lesson. The system worked in a hierarchical warrior society where the center could physically compel residence, status was everything, and the bill could be handed to people with no voice. Without those conditions, costly compliance turns into theater, with rituals that punish distance, enrich whoever controls access, and crush useful autonomy while producing no real information. Circulation does not automatically create trust. The analogy holds only when showing up actually reveals something, enforcement is credible, and the cost does not wreck the capability the center needs from its partners.</w:t>
      </w:r>
    </w:p>
    <w:p>
      <w:pPr>
        <w:pStyle w:val="Heading1"/>
        <w:spacing w:after="140" w:before="320"/>
      </w:pPr>
      <w:r>
        <w:t xml:space="preserve">Takeaways</w:t>
      </w:r>
    </w:p>
    <w:p>
      <w:pPr>
        <w:spacing w:after="180" w:line="300"/>
      </w:pPr>
      <w:r>
        <w:rPr>
          <w:b/>
          <w:bCs/>
          <w:sz w:val="22"/>
          <w:szCs w:val="22"/>
        </w:rPr>
        <w:t>Why this matters:</w:t>
      </w:r>
      <w:r>
        <w:rPr>
          <w:sz w:val="22"/>
          <w:szCs w:val="22"/>
        </w:rPr>
        <w:t xml:space="preserve"> Uncertain allegiance can be turned into participation that others can observe. The Tokugawa never made their lords trustworthy. They made disloyalty expensive, slow, and visible, and they left the lords enough power that staying in the system was the better deal. What lasted was that combination, of which coercion was only one part.</w:t>
      </w:r>
    </w:p>
    <w:p>
      <w:pPr>
        <w:spacing w:after="180" w:line="300"/>
      </w:pPr>
      <w:r>
        <w:rPr>
          <w:b/>
          <w:bCs/>
          <w:sz w:val="22"/>
          <w:szCs w:val="22"/>
        </w:rPr>
        <w:t>What this means today:</w:t>
      </w:r>
      <w:r>
        <w:rPr>
          <w:sz w:val="22"/>
          <w:szCs w:val="22"/>
        </w:rPr>
        <w:t xml:space="preserve"> When a coordination problem seems to need more central control, the better answer is often a regular schedule, such as a recurring forum, review, or shared obligation that makes each party's contribution visible and their interdependence valuable. Standing alliance summits, industry standards bodies, and regular operating reviews inside large organizations rest on the same logic.</w:t>
      </w:r>
    </w:p>
    <w:p>
      <w:pPr>
        <w:spacing w:after="180" w:line="300"/>
      </w:pPr>
      <w:r>
        <w:rPr>
          <w:b/>
          <w:bCs/>
          <w:sz w:val="22"/>
          <w:szCs w:val="22"/>
        </w:rPr>
        <w:t>Where the lesson runs out:</w:t>
      </w:r>
      <w:r>
        <w:rPr>
          <w:sz w:val="22"/>
          <w:szCs w:val="22"/>
        </w:rPr>
        <w:t xml:space="preserve"> The arrangement depends on a center that can enforce attendance and on participants who still hold real, valuable authority of their own. Without enforcement it becomes optional theater. If the participants' local power is hollowed out, the capability the center was trying to coordinate is gone.</w:t>
      </w:r>
    </w:p>
    <w:p>
      <w:pPr>
        <w:spacing w:after="180" w:line="300"/>
      </w:pPr>
      <w:r>
        <w:rPr>
          <w:b/>
          <w:bCs/>
          <w:sz w:val="22"/>
          <w:szCs w:val="22"/>
        </w:rPr>
        <w:t>Who this is most useful for:</w:t>
      </w:r>
      <w:r>
        <w:rPr>
          <w:sz w:val="22"/>
          <w:szCs w:val="22"/>
        </w:rPr>
        <w:t xml:space="preserve"> Anyone managing a federation of semi-autonomous units they cannot simply command, such as franchise networks, university systems, coalitions of allies, and holding companies. The warning about who pays applies here too. Before calling a coordination ritual cheap, check who is actually absorbing its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2026-07-21T02:03:26.770Z</dcterms:created>
  <dcterms:modified xsi:type="dcterms:W3CDTF">2026-07-21T02:03:26.771Z</dcterms:modified>
</cp:coreProperties>
</file>

<file path=docProps/custom.xml><?xml version="1.0" encoding="utf-8"?>
<Properties xmlns="http://schemas.openxmlformats.org/officeDocument/2006/custom-properties" xmlns:vt="http://schemas.openxmlformats.org/officeDocument/2006/docPropsVTypes"/>
</file>