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How Japan Kept 260 Rival Warlords in Line by Making Them Commute</w:t>
      </w:r>
    </w:p>
    <w:p>
      <w:pPr>
        <w:spacing w:after="300"/>
      </w:pPr>
      <w:r>
        <w:rPr>
          <w:i/>
          <w:iCs/>
          <w:color w:val="5A5A5A"/>
          <w:sz w:val="18"/>
          <w:szCs w:val="18"/>
        </w:rPr>
        <w:t xml:space="preserve">Learnings from History  •  July 21, 2026</w:t>
      </w:r>
    </w:p>
    <w:p>
      <w:pPr>
        <w:spacing w:after="180" w:line="276"/>
      </w:pPr>
      <w:r>
        <w:rPr>
          <w:sz w:val="22"/>
          <w:szCs w:val="22"/>
        </w:rPr>
        <w:t>For more than 250 years, Japan avoided the kind of civil war that had torn it apart for a century, and one of the main tools was surprisingly mundane. The rulers didn’t crush their rival lords or take away their armies. They made them travel. This is the story of how a routine schedule of visits did work that force alone couldn’t, and why the same approach still shows up in how organizations manage people they can’t fully trust.</w:t>
      </w:r>
    </w:p>
    <w:p>
      <w:pPr>
        <w:pStyle w:val="Heading1"/>
        <w:spacing w:after="140" w:before="300"/>
      </w:pPr>
      <w:r>
        <w:rPr>
          <w:b/>
          <w:bCs/>
          <w:color w:val="1F3864"/>
          <w:sz w:val="28"/>
          <w:szCs w:val="28"/>
        </w:rPr>
        <w:t>The Problem After Sekigahara</w:t>
      </w:r>
    </w:p>
    <w:p>
      <w:pPr>
        <w:spacing w:after="180" w:line="276"/>
      </w:pPr>
      <w:r>
        <w:rPr>
          <w:sz w:val="22"/>
          <w:szCs w:val="22"/>
        </w:rPr>
        <w:t>In 1600, Tokugawa Ieyasu won the battle of Sekigahara, and by 1615 he had wiped out his last serious rivals at Osaka. He had won, yet Japan was still carved up among roughly 250 to 270 regional warlords, the daimyō, each of whom ran his own territory with his own soldiers, taxes, and government. The Tokugawa shogun (the top military ruler) sat above all of them and could reward, move, or seize a domain. But he had no bureaucracy big enough to govern most of the country directly. The lords did that. The shogun was the boss, but he couldn’t run the country without the very lords he had every reason to fear.</w:t>
      </w:r>
    </w:p>
    <w:p>
      <w:pPr>
        <w:spacing w:after="200"/>
      </w:pPr>
      <w:r>
        <w:rPr>
          <w:i/>
          <w:iCs/>
          <w:color w:val="5A5A5A"/>
          <w:sz w:val="18"/>
          <w:szCs w:val="18"/>
        </w:rPr>
        <w:t xml:space="preserve">Confirmed by the Royal Historical Society and Columbia University’s Asia for Educators, which describe the Tokugawa order as a layered polity where local lords retained real governing power.</w:t>
      </w:r>
    </w:p>
    <w:p>
      <w:pPr>
        <w:spacing w:after="180" w:line="276"/>
      </w:pPr>
      <w:r>
        <w:rPr>
          <w:sz w:val="22"/>
          <w:szCs w:val="22"/>
        </w:rPr>
        <w:t>The fear was well founded. Everyone in charge had grown up during the wars and had seen alliances flip and rebellions flare. The regime’s own 1615 rulebook for warrior houses shows what worried them. It restricted building castles, required permission for marriages between powerful families, and warned that trouble could brew even in peacetime. Beneath these worries lay a problem of information. When a distant lord repaired a castle wall, arranged a wedding, or called his retainers together, he might be doing normal administration or getting ready to fight. From Edo, the shogun’s capital, there was no good way to tell which.</w:t>
      </w:r>
    </w:p>
    <w:p>
      <w:pPr>
        <w:pStyle w:val="Heading1"/>
        <w:spacing w:after="140" w:before="300"/>
      </w:pPr>
      <w:r>
        <w:rPr>
          <w:b/>
          <w:bCs/>
          <w:color w:val="1F3864"/>
          <w:sz w:val="28"/>
          <w:szCs w:val="28"/>
        </w:rPr>
        <w:t>How Alternate Attendance Worked</w:t>
      </w:r>
    </w:p>
    <w:p>
      <w:pPr>
        <w:spacing w:after="180" w:line="276"/>
      </w:pPr>
      <w:r>
        <w:rPr>
          <w:sz w:val="22"/>
          <w:szCs w:val="22"/>
        </w:rPr>
        <w:t>The shogunate’s answer was to stop guessing and put loyalty on a schedule. In 1635, under the third shogun, Tokugawa Iemitsu, the regime formalized a practice called sankin kōtai, or “alternate attendance.” (The 1635 codification applied to the outside lords, and the shogun’s own hereditary vassals were folded in by the 1640s.) The rule was simple. A lord split his time, spending alternating stretches in his home domain and in Edo, while his wife and heir lived in Edo permanently. When he traveled, he came with a retinue. He kept up expensive residences in both places, showed up at the shogun’s court, and exchanged gifts, all while running his territory from a distance through deputies and letters.</w:t>
      </w:r>
    </w:p>
    <w:p>
      <w:pPr>
        <w:spacing w:after="200"/>
      </w:pPr>
      <w:r>
        <w:rPr>
          <w:i/>
          <w:iCs/>
          <w:color w:val="5A5A5A"/>
          <w:sz w:val="18"/>
          <w:szCs w:val="18"/>
        </w:rPr>
        <w:t xml:space="preserve">Confirmed by Britannica, Nippon.com, and Japan Society, which date the codification to the 1635 revision of the Laws for the Military Houses under Iemitsu.</w:t>
      </w:r>
    </w:p>
    <w:p>
      <w:pPr>
        <w:spacing w:after="180" w:line="276"/>
      </w:pPr>
      <w:r>
        <w:rPr>
          <w:sz w:val="22"/>
          <w:szCs w:val="22"/>
        </w:rPr>
        <w:t>The system worked by turning an invisible threat into a visible routine, which is more interesting than “keep hostages in the capital,” though it did that too. Instead of wondering what a lord was secretly doing behind his borders, the shogunate could now watch what he did in the open: when he arrived, how big his procession was, whether he performed his court duties properly, whether his family was present, and how lavishly he spent. Each of these could be tracked and compared year over year. A lord planning a rebellion would have to hide it inside a schedule that constantly put him on display. Predictable travel also used up the time and secrecy any real plot would need, and running two households drained money that would otherwise buy soldiers. (This is a reading of how the system was built to function, not a claim that the Tokugawa had perfect surveillance.)</w:t>
      </w:r>
    </w:p>
    <w:p>
      <w:pPr>
        <w:spacing w:after="180" w:line="276"/>
      </w:pPr>
      <w:r>
        <w:rPr>
          <w:sz w:val="22"/>
          <w:szCs w:val="22"/>
        </w:rPr>
        <w:t>The lords went along with it because the system didn’t make them powerless. They still ran their domains, and their income, prestige, and administrative strength came from there, the same resources that paid for their presence in Edo. Recent scholarship on the Shimazu lords of Satsuma shows the journey cutting both ways. Before setting out on the highways to Edo, the lords staged ceremonies and received tribute inside their own territory, so the same trip announced submission to the shogun and lordship at home. That double meaning is what made participation line up with the lords’ own self-interest.</w:t>
      </w:r>
    </w:p>
    <w:p>
      <w:pPr>
        <w:spacing w:after="200"/>
      </w:pPr>
      <w:r>
        <w:rPr>
          <w:i/>
          <w:iCs/>
          <w:color w:val="5A5A5A"/>
          <w:sz w:val="18"/>
          <w:szCs w:val="18"/>
        </w:rPr>
        <w:t xml:space="preserve">Confirmed by Cambridge University Press, drawing on Rebekah Clements’s study of alternate-attendance parades in Satsuma.</w:t>
      </w:r>
    </w:p>
    <w:p>
      <w:pPr>
        <w:pStyle w:val="Heading1"/>
        <w:spacing w:after="140" w:before="300"/>
      </w:pPr>
      <w:r>
        <w:rPr>
          <w:b/>
          <w:bCs/>
          <w:color w:val="1F3864"/>
          <w:sz w:val="28"/>
          <w:szCs w:val="28"/>
        </w:rPr>
        <w:t xml:space="preserve">A Security Measure Accidentally Built a National Market</w:t>
      </w:r>
    </w:p>
    <w:p>
      <w:pPr>
        <w:spacing w:after="180" w:line="276"/>
      </w:pPr>
      <w:r>
        <w:rPr>
          <w:sz w:val="22"/>
          <w:szCs w:val="22"/>
        </w:rPr>
        <w:t>The security measure also drove national integration, which its designers never planned. Hundreds of lordly households now needed cash, food, lodging, clothing, and transport in Edo and all along the roads. Domains converted their rice taxes into money, often through the merchant hub of Osaka. Merchants lent to lords, and post towns grew up to house the constant traffic. Records from Japan’s transport ministry show how dense this became, with dozens of stations and thousands of inns on the Tōkaidō highway alone. The lords’ children, raised in Edo, absorbed a shared court culture, and their retainers carried fashions, techniques, news, and ideas back and forth. The regime’s loyalty ritual accidentally stitched a fragmented country into a common network of roads, markets, and expectations.</w:t>
      </w:r>
    </w:p>
    <w:p>
      <w:pPr>
        <w:spacing w:after="200"/>
      </w:pPr>
      <w:r>
        <w:rPr>
          <w:i/>
          <w:iCs/>
          <w:color w:val="5A5A5A"/>
          <w:sz w:val="18"/>
          <w:szCs w:val="18"/>
        </w:rPr>
        <w:t xml:space="preserve">Confirmed by Japan’s Ministry of Land, Infrastructure, Transport and Tourism and the Oxford Research Encyclopedia of Asian History.</w:t>
      </w:r>
    </w:p>
    <w:p>
      <w:pPr>
        <w:pStyle w:val="Heading1"/>
        <w:spacing w:after="140" w:before="300"/>
      </w:pPr>
      <w:r>
        <w:rPr>
          <w:b/>
          <w:bCs/>
          <w:color w:val="1F3864"/>
          <w:sz w:val="28"/>
          <w:szCs w:val="28"/>
        </w:rPr>
        <w:t>Other Causes of the Peace, and Who Paid for It</w:t>
      </w:r>
    </w:p>
    <w:p>
      <w:pPr>
        <w:spacing w:after="180" w:line="276"/>
      </w:pPr>
      <w:r>
        <w:rPr>
          <w:sz w:val="22"/>
          <w:szCs w:val="22"/>
        </w:rPr>
        <w:t>Alternate attendance should not get credit for everything. The long peace had many causes. The shogunate also redistributed land, restricted castle-building and marriages, and controlled diplomacy, and it benefited from a country exhausted by a century of war. Commerce had its own momentum too. The best scholarship, such as Jennifer Amyx’s, doesn’t treat the system as pure coercion. Amyx reads it as an institution that made everyone’s commitment to peace more believable, giving both the shogun and the lords a stake in keeping the arrangement alive. That reading sharpens the main point more than it weakens it. The system lasted because it combined fear, status, and money in one repeated act.</w:t>
      </w:r>
    </w:p>
    <w:p>
      <w:pPr>
        <w:spacing w:after="200"/>
      </w:pPr>
      <w:r>
        <w:rPr>
          <w:i/>
          <w:iCs/>
          <w:color w:val="5A5A5A"/>
          <w:sz w:val="18"/>
          <w:szCs w:val="18"/>
        </w:rPr>
        <w:t xml:space="preserve">Confirmed by Stanford’s Asia-Pacific Research Center, citing Jennifer Amyx’s work on sankin kōtai as “institutionalized trust.”</w:t>
      </w:r>
    </w:p>
    <w:p>
      <w:pPr>
        <w:spacing w:after="180" w:line="276"/>
      </w:pPr>
      <w:r>
        <w:rPr>
          <w:sz w:val="22"/>
          <w:szCs w:val="22"/>
        </w:rPr>
        <w:t>The peace was not paid for evenly, and the briefing says so plainly. Peasants maintained the roads, hauled the baggage, and paid the levies. Retainers lost chunks of their stipends, and families endured long separations. Distant domains often bore the heaviest burden and taxed their own people harder to cover it. Rather than ending exploitation, the system shifted much of the price of elite cooperation downward, onto people who had no say in the design.</w:t>
      </w:r>
    </w:p>
    <w:p>
      <w:pPr>
        <w:pStyle w:val="Heading1"/>
        <w:spacing w:after="140" w:before="300"/>
      </w:pPr>
      <w:r>
        <w:rPr>
          <w:b/>
          <w:bCs/>
          <w:color w:val="1F3864"/>
          <w:sz w:val="28"/>
          <w:szCs w:val="28"/>
        </w:rPr>
        <w:t xml:space="preserve">The Takeaways</w:t>
      </w:r>
    </w:p>
    <w:p>
      <w:pPr>
        <w:spacing w:after="180" w:line="276"/>
      </w:pPr>
      <w:r>
        <w:rPr>
          <w:b/>
          <w:bCs/>
          <w:color w:val="1F3864"/>
          <w:sz w:val="22"/>
          <w:szCs w:val="22"/>
        </w:rPr>
        <w:t>Why this matters:</w:t>
      </w:r>
      <w:r>
        <w:rPr>
          <w:sz w:val="22"/>
          <w:szCs w:val="22"/>
        </w:rPr>
        <w:t xml:space="preserve"> When you can’t trust the people you depend on and can’t simply remove them, one durable answer is a regular, visible forum where their continued standing depends on showing up and contributing. Instead of a one-time oath of loyalty, the Tokugawa used a recurring routine that produced proof of presence, performance, relationships, and investment all at once. That is a different and sturdier way to hold a fragile coalition together.</w:t>
      </w:r>
    </w:p>
    <w:p>
      <w:pPr>
        <w:spacing w:after="180" w:line="276"/>
      </w:pPr>
      <w:r>
        <w:rPr>
          <w:b/>
          <w:bCs/>
          <w:color w:val="1F3864"/>
          <w:sz w:val="22"/>
          <w:szCs w:val="22"/>
        </w:rPr>
        <w:t>What this means today:</w:t>
      </w:r>
      <w:r>
        <w:rPr>
          <w:sz w:val="22"/>
          <w:szCs w:val="22"/>
        </w:rPr>
        <w:t xml:space="preserve"> The pattern is widespread. A recurring business review, a standing operating routine, and a shared platform everyone has to plug into all work the same way. They make quiet defection costly and give everyone a reason to keep the system running. Some coordination problems call for a better schedule rather than more top-down control, one that makes each participant’s contribution observable and makes interdependence feel valuable instead of threatening.</w:t>
      </w:r>
    </w:p>
    <w:p>
      <w:pPr>
        <w:spacing w:after="180" w:line="276"/>
      </w:pPr>
      <w:r>
        <w:rPr>
          <w:b/>
          <w:bCs/>
          <w:color w:val="1F3864"/>
          <w:sz w:val="22"/>
          <w:szCs w:val="22"/>
        </w:rPr>
        <w:t>Where the lesson runs out:</w:t>
      </w:r>
      <w:r>
        <w:rPr>
          <w:sz w:val="22"/>
          <w:szCs w:val="22"/>
        </w:rPr>
        <w:t xml:space="preserve"> This worked in a rigid warrior society where the center could actually enforce attendance, the lords had real local power worth protecting, status was everything, and the costs could be dumped on voiceless subjects. Without those conditions the arrangement goes sour. Forced participation can become empty theater, punish people simply for being far away, enrich the gatekeepers who run the process, and choke off useful independence. The analogy holds only when the routine produces genuine information and mutual benefit, enforcement is credible, and the cost doesn’t wreck the capabilities the center needs from its partners.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2026-07-21T22:55:43.454Z</dcterms:created>
  <dcterms:modified xsi:type="dcterms:W3CDTF">2026-07-21T22:55:43.454Z</dcterms:modified>
</cp:coreProperties>
</file>

<file path=docProps/custom.xml><?xml version="1.0" encoding="utf-8"?>
<Properties xmlns="http://schemas.openxmlformats.org/officeDocument/2006/custom-properties" xmlns:vt="http://schemas.openxmlformats.org/officeDocument/2006/docPropsVTypes"/>
</file>