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0"/>
          <w:szCs w:val="40"/>
        </w:rPr>
        <w:t xml:space="preserve">The Boats Got Better at Finding the Last Fish, So the Numbers Looked Fine</w:t>
      </w:r>
    </w:p>
    <w:p>
      <w:pPr>
        <w:spacing w:after="360"/>
      </w:pPr>
      <w:r>
        <w:rPr>
          <w:rFonts w:ascii="Georgia" w:cs="Georgia" w:eastAsia="Georgia" w:hAnsi="Georgia"/>
          <w:i/>
          <w:iCs/>
          <w:color w:val="555555"/>
          <w:sz w:val="19"/>
          <w:szCs w:val="19"/>
        </w:rPr>
        <w:t xml:space="preserve">The collapse of the northern cod, 1977–1992 · August 9, 2026</w:t>
      </w:r>
    </w:p>
    <w:p>
      <w:pPr>
        <w:spacing w:after="200" w:line="300"/>
      </w:pPr>
      <w:r>
        <w:rPr>
          <w:rFonts w:ascii="Georgia" w:cs="Georgia" w:eastAsia="Georgia" w:hAnsi="Georgia"/>
          <w:sz w:val="23"/>
          <w:szCs w:val="23"/>
        </w:rPr>
        <w:t>In July 1992, Canada shut down a fishery that had operated for nearly five hundred years and put roughly 30,000 people out of work in a single announcement, often called the largest industrial layoff in Canadian history. Yet the northern cod collapsed under the watch of a large, well-funded scientific agency doing more or less what good practice said to do. Its instruments said the stock was healthy almost until the moment it was gone. The problem that fooled the scientists is not specific to fish.</w:t>
      </w:r>
    </w:p>
    <w:p>
      <w:pPr>
        <w:pStyle w:val="Heading1"/>
        <w:spacing w:after="200" w:before="360"/>
      </w:pPr>
      <w:r>
        <w:rPr>
          <w:rFonts w:ascii="Georgia" w:cs="Georgia" w:eastAsia="Georgia" w:hAnsi="Georgia"/>
          <w:b/>
          <w:bCs/>
          <w:color w:val="1a1a1a"/>
          <w:sz w:val="30"/>
          <w:szCs w:val="30"/>
        </w:rPr>
        <w:t xml:space="preserve">A Fishery Run, on Paper, Exactly Right</w:t>
      </w:r>
    </w:p>
    <w:p>
      <w:pPr>
        <w:spacing w:after="200" w:line="300"/>
      </w:pPr>
      <w:r>
        <w:rPr>
          <w:rFonts w:ascii="Georgia" w:cs="Georgia" w:eastAsia="Georgia" w:hAnsi="Georgia"/>
          <w:sz w:val="23"/>
          <w:szCs w:val="23"/>
        </w:rPr>
        <w:t>Cod off Newfoundland had been fished since the early 1500s and had survived everything until factory trawlers arrived. Foreign fleets drove the annual catch to a peak of about 810,000 tonnes in 1968, after which catches fell steeply. In 1977 Canada extended its fisheries jurisdiction to 200 miles offshore, pushed out most of the foreign fleet, and took control of the stock. The mood was optimistic. The federal Department of Fisheries and Oceans (DFO) projected a rebuilding stock, and the government encouraged Newfoundlanders to invest in trawlers and processing plants.</w:t>
      </w:r>
    </w:p>
    <w:p>
      <w:pPr>
        <w:spacing w:after="240"/>
      </w:pPr>
      <w:r>
        <w:rPr>
          <w:rFonts w:ascii="Georgia" w:cs="Georgia" w:eastAsia="Georgia" w:hAnsi="Georgia"/>
          <w:i/>
          <w:iCs/>
          <w:color w:val="666666"/>
          <w:sz w:val="18"/>
          <w:szCs w:val="18"/>
        </w:rPr>
        <w:t xml:space="preserve">Background and catch figures: Hutchings &amp; Myers, "What Can Be Learned from the Collapse of a Renewable Resource?" (1994); Heritage Newfoundland &amp; Labrador, "Cod Moratorium."</w:t>
      </w:r>
    </w:p>
    <w:p>
      <w:pPr>
        <w:spacing w:after="200" w:line="300"/>
      </w:pPr>
      <w:r>
        <w:rPr>
          <w:rFonts w:ascii="Georgia" w:cs="Georgia" w:eastAsia="Georgia" w:hAnsi="Georgia"/>
          <w:sz w:val="23"/>
          <w:szCs w:val="23"/>
        </w:rPr>
        <w:t>Management was scientific by design. Every year DFO scientists estimated the size of the stock and set a total allowable catch pegged to a deliberately conservative fishing-mortality target. With quotas, surveys, and peer review inside a formal advisory committee, the fishery looked the way a modern, science-based fishery was supposed to look. The people running it were not cowboys.</w:t>
      </w:r>
    </w:p>
    <w:p>
      <w:pPr>
        <w:pStyle w:val="Heading1"/>
        <w:spacing w:after="200" w:before="360"/>
      </w:pPr>
      <w:r>
        <w:rPr>
          <w:rFonts w:ascii="Georgia" w:cs="Georgia" w:eastAsia="Georgia" w:hAnsi="Georgia"/>
          <w:b/>
          <w:bCs/>
          <w:color w:val="1a1a1a"/>
          <w:sz w:val="30"/>
          <w:szCs w:val="30"/>
        </w:rPr>
        <w:t xml:space="preserve">Two Ways to Count Invisible Fish, and One Comfortable Answer</w:t>
      </w:r>
    </w:p>
    <w:p>
      <w:pPr>
        <w:spacing w:after="200" w:line="300"/>
      </w:pPr>
      <w:r>
        <w:rPr>
          <w:rFonts w:ascii="Georgia" w:cs="Georgia" w:eastAsia="Georgia" w:hAnsi="Georgia"/>
          <w:sz w:val="23"/>
          <w:szCs w:val="23"/>
        </w:rPr>
        <w:t>You cannot see a fish stock, so you estimate it. DFO had two data streams. The first was its own research surveys, in which government vessels towed the same gear over the same grid each year. The surveys were unbiased in principle but noisy, since a single survey can swing a lot for reasons that have nothing to do with the stock. The second was catch-per-unit-effort, or CPUE, which measured how much cod the commercial offshore trawlers caught per hour of fishing. The working assumption, standard in fisheries science worldwide at the time, was that CPUE tracks abundance, so that half the fish means half the catch rate.</w:t>
      </w:r>
    </w:p>
    <w:p>
      <w:pPr>
        <w:spacing w:after="200" w:line="300"/>
      </w:pPr>
      <w:r>
        <w:rPr>
          <w:rFonts w:ascii="Georgia" w:cs="Georgia" w:eastAsia="Georgia" w:hAnsi="Georgia"/>
          <w:sz w:val="23"/>
          <w:szCs w:val="23"/>
        </w:rPr>
        <w:t>That assumption failed here for two reasons that reinforced each other. First, the measuring instrument kept improving. Through the 1980s the trawler fleet got better sonar, better navigation, and bigger, smarter gear, so an "hour of fishing" in 1988 caught far more of whatever was there than an hour in 1978, and the assessments did not fully correct for it. Second, cod school densely, and a shrinking population contracts into fewer, tighter aggregations instead of spreading thin. Trawlers with sonar go straight to the aggregations, so catch rates stay high while the total population falls. Fisheries scientists call this failure mode hyperstability: the index stays flat while the thing it measures collapses. The boats were literally getting better at finding the last fish.</w:t>
      </w:r>
    </w:p>
    <w:p>
      <w:pPr>
        <w:spacing w:after="240"/>
      </w:pPr>
      <w:r>
        <w:rPr>
          <w:rFonts w:ascii="Georgia" w:cs="Georgia" w:eastAsia="Georgia" w:hAnsi="Georgia"/>
          <w:i/>
          <w:iCs/>
          <w:color w:val="666666"/>
          <w:sz w:val="18"/>
          <w:szCs w:val="18"/>
        </w:rPr>
        <w:t xml:space="preserve">Rose &amp; Kulka (1999) on hyperstable catch rates in northern cod; Walters &amp; Maguire, "Lessons for Stock Assessment from the Northern Cod Collapse" (1996).</w:t>
      </w:r>
    </w:p>
    <w:p>
      <w:pPr>
        <w:spacing w:after="200" w:line="300"/>
      </w:pPr>
      <w:r>
        <w:rPr>
          <w:rFonts w:ascii="Georgia" w:cs="Georgia" w:eastAsia="Georgia" w:hAnsi="Georgia"/>
          <w:sz w:val="23"/>
          <w:szCs w:val="23"/>
        </w:rPr>
        <w:t>As a result, DFO's assessments overestimated the stock through the 1980s, by as much as 100 percent according to a 1989 internal review, and quotas calibrated to a phantom stock let real fishing mortality run at two to three times the target. Meanwhile the inshore fishermen, working traps and handlines near shore, watched their catches fall from the mid-1980s and said so, loudly. In 1986 their union commissioned its own review (the Keats report), which argued that DFO was substantially overestimating the stock. A 1987 federal task force under Dexter Alverson reviewed the complaints and urged more caution but did not overturn the assessments. At the time, the inshore evidence really was noisy, since inshore catches depend on water temperature and on where the fish happen to migrate in a given year, and DFO had reasonable grounds to prefer its instruments to anecdote. The dispute looked routine, yet the anecdote was right and the instrument was wrong.</w:t>
      </w:r>
    </w:p>
    <w:p>
      <w:pPr>
        <w:spacing w:after="240"/>
      </w:pPr>
      <w:r>
        <w:rPr>
          <w:rFonts w:ascii="Georgia" w:cs="Georgia" w:eastAsia="Georgia" w:hAnsi="Georgia"/>
          <w:i/>
          <w:iCs/>
          <w:color w:val="666666"/>
          <w:sz w:val="18"/>
          <w:szCs w:val="18"/>
        </w:rPr>
        <w:t xml:space="preserve">Overestimation and the inshore dispute: Finlayson, Fishing for Truth (1994); Harris, Independent Review of the State of the Northern Cod Stock (1990); Hutchings &amp; Myers (1994).</w:t>
      </w:r>
    </w:p>
    <w:p>
      <w:pPr>
        <w:pStyle w:val="Heading1"/>
        <w:spacing w:after="200" w:before="360"/>
      </w:pPr>
      <w:r>
        <w:rPr>
          <w:rFonts w:ascii="Georgia" w:cs="Georgia" w:eastAsia="Georgia" w:hAnsi="Georgia"/>
          <w:b/>
          <w:bCs/>
          <w:color w:val="1a1a1a"/>
          <w:sz w:val="30"/>
          <w:szCs w:val="30"/>
        </w:rPr>
        <w:t xml:space="preserve">The Year They Split the Difference</w:t>
      </w:r>
    </w:p>
    <w:p>
      <w:pPr>
        <w:spacing w:after="200" w:line="300"/>
      </w:pPr>
      <w:r>
        <w:rPr>
          <w:rFonts w:ascii="Georgia" w:cs="Georgia" w:eastAsia="Georgia" w:hAnsi="Georgia"/>
          <w:sz w:val="23"/>
          <w:szCs w:val="23"/>
        </w:rPr>
        <w:t>The crunch came in 1989. A reworked assessment that leaned harder on the survey data concluded the stock was roughly half what DFO had believed, and the scientific advisory committee recommended cutting the total allowable catch to about 125,000 tonnes, down from 266,000 the year before. Cutting the quota in half overnight would have idled plants and fleets across a province where cod was the main employer. Cabinet set the 1989 quota at 235,000 tonnes instead. It felt like prudence in both directions, a way to heed the new science without wrecking the economy on one revised model run.</w:t>
      </w:r>
    </w:p>
    <w:p>
      <w:pPr>
        <w:spacing w:after="240"/>
      </w:pPr>
      <w:r>
        <w:rPr>
          <w:rFonts w:ascii="Georgia" w:cs="Georgia" w:eastAsia="Georgia" w:hAnsi="Georgia"/>
          <w:i/>
          <w:iCs/>
          <w:color w:val="666666"/>
          <w:sz w:val="18"/>
          <w:szCs w:val="18"/>
        </w:rPr>
        <w:t xml:space="preserve">TAC figures: Parliamentary Research Branch, "The Northern Cod Crisis" (BP-313E); Senate Standing Committee on Fisheries records; New Scientist, 16 Sept 1996.</w:t>
      </w:r>
    </w:p>
    <w:p>
      <w:pPr>
        <w:spacing w:after="200" w:line="300"/>
      </w:pPr>
      <w:r>
        <w:rPr>
          <w:rFonts w:ascii="Georgia" w:cs="Georgia" w:eastAsia="Georgia" w:hAnsi="Georgia"/>
          <w:sz w:val="23"/>
          <w:szCs w:val="23"/>
        </w:rPr>
        <w:t>In 1990 an independent review chaired by Leslie Harris confirmed the overestimation and recommended deep cuts. Quotas came down, but gradually. Then the 1991 and 1992 surveys found that the fish had disappeared. On July 2, 1992, fisheries minister John Crosbie announced a two-year moratorium on the northern cod fishery. Estimates of the immediate job loss run from 20,000 to 40,000 depending on who is counted, with about 30,000 the most commonly cited figure. Later peer-reviewed reconstruction by Hutchings and Myers put the total decline in biomass at roughly 99 percent from the early 1960s. Some scientists have argued that unusually cold water and seal predation contributed to the final collapse. The weight of the peer-reviewed literature holds that overfishing was the dominant cause and the environment secondary, so the dispute is genuine but bounded.</w:t>
      </w:r>
    </w:p>
    <w:p>
      <w:pPr>
        <w:spacing w:after="240"/>
      </w:pPr>
      <w:r>
        <w:rPr>
          <w:rFonts w:ascii="Georgia" w:cs="Georgia" w:eastAsia="Georgia" w:hAnsi="Georgia"/>
          <w:i/>
          <w:iCs/>
          <w:color w:val="666666"/>
          <w:sz w:val="18"/>
          <w:szCs w:val="18"/>
        </w:rPr>
        <w:t xml:space="preserve">Moratorium and impact: Heritage NL; CBC retrospectives; Hutchings &amp; Myers (1994) on the 99 percent decline and causes.</w:t>
      </w:r>
    </w:p>
    <w:p>
      <w:pPr>
        <w:spacing w:after="200" w:line="300"/>
      </w:pPr>
      <w:r>
        <w:rPr>
          <w:rFonts w:ascii="Georgia" w:cs="Georgia" w:eastAsia="Georgia" w:hAnsi="Georgia"/>
          <w:sz w:val="23"/>
          <w:szCs w:val="23"/>
        </w:rPr>
        <w:t>The two-year moratorium lasted thirty-two years. The predicted rebound did not come. The stock stayed at a small fraction of its former size for decades, one of the clearest demonstrations that a collapsed population does not simply climb back when the fishing stops. Canada formally ended the moratorium on June 26, 2024, with a quota of 18,000 tonnes, less than a tenth of what cabinet had approved in 1989.</w:t>
      </w:r>
    </w:p>
    <w:p>
      <w:pPr>
        <w:spacing w:after="240"/>
      </w:pPr>
      <w:r>
        <w:rPr>
          <w:rFonts w:ascii="Georgia" w:cs="Georgia" w:eastAsia="Georgia" w:hAnsi="Georgia"/>
          <w:i/>
          <w:iCs/>
          <w:color w:val="666666"/>
          <w:sz w:val="18"/>
          <w:szCs w:val="18"/>
        </w:rPr>
        <w:t xml:space="preserve">DFO announcement, June 26, 2024; The Conversation, "The federal government has lifted the moratorium on Northern cod fishing after 32 years" (2024).</w:t>
      </w:r>
    </w:p>
    <w:p>
      <w:pPr>
        <w:pStyle w:val="Heading1"/>
        <w:spacing w:after="200" w:before="360"/>
      </w:pPr>
      <w:r>
        <w:rPr>
          <w:rFonts w:ascii="Georgia" w:cs="Georgia" w:eastAsia="Georgia" w:hAnsi="Georgia"/>
          <w:b/>
          <w:bCs/>
          <w:color w:val="1a1a1a"/>
          <w:sz w:val="30"/>
          <w:szCs w:val="30"/>
        </w:rPr>
        <w:t xml:space="preserve">Why Careful People Kept Getting the Same Wrong Answer</w:t>
      </w:r>
    </w:p>
    <w:p>
      <w:pPr>
        <w:spacing w:after="200" w:line="300"/>
      </w:pPr>
      <w:r>
        <w:rPr>
          <w:rFonts w:ascii="Georgia" w:cs="Georgia" w:eastAsia="Georgia" w:hAnsi="Georgia"/>
          <w:sz w:val="23"/>
          <w:szCs w:val="23"/>
        </w:rPr>
        <w:t>The core failure came before the politics, and it was quieter. For a decade, the best-credentialed people, using the standard method of their field, produced estimates that were confidently and systematically wrong in the same direction, because their main instrument measured fishing skill as if it were fish. Political interference and willful blindness played some part at the margins, which makes it tempting to read the collapse as a story about them. But every individual decision downstream of the estimates was defensible. Trusting commercial catch rates was normal science, averaging two conflicting data sources felt like humility, and phasing in quota cuts to protect 30,000 livelihoods was what almost any elected government would do. The outcome was a catastrophe anyway. What hindsight erases is that nobody had to be a fool for this to happen.</w:t>
      </w:r>
    </w:p>
    <w:p>
      <w:pPr>
        <w:pStyle w:val="Heading1"/>
        <w:spacing w:after="200" w:before="360"/>
      </w:pPr>
      <w:r>
        <w:rPr>
          <w:rFonts w:ascii="Georgia" w:cs="Georgia" w:eastAsia="Georgia" w:hAnsi="Georgia"/>
          <w:b/>
          <w:bCs/>
          <w:color w:val="1a1a1a"/>
          <w:sz w:val="30"/>
          <w:szCs w:val="30"/>
        </w:rPr>
        <w:t xml:space="preserve">Takeaways</w:t>
      </w:r>
    </w:p>
    <w:p>
      <w:pPr>
        <w:spacing w:after="200" w:line="300"/>
      </w:pPr>
      <w:r>
        <w:rPr>
          <w:rFonts w:ascii="Georgia" w:cs="Georgia" w:eastAsia="Georgia" w:hAnsi="Georgia"/>
          <w:b/>
          <w:bCs/>
          <w:sz w:val="23"/>
          <w:szCs w:val="23"/>
        </w:rPr>
        <w:t>Why this matters:</w:t>
      </w:r>
      <w:r>
        <w:rPr>
          <w:rFonts w:ascii="Georgia" w:cs="Georgia" w:eastAsia="Georgia" w:hAnsi="Georgia"/>
          <w:sz w:val="23"/>
          <w:szCs w:val="23"/>
        </w:rPr>
        <w:t xml:space="preserve"> When the tool you measure with improves while you are measuring, trends become artifacts. Northern cod CPUE looked stable because sonar and gear kept getting better, while the fish themselves were declining. Any metric whose collection instrument changes over time carries the same failure mode, whether engagement numbers as recommendation systems improve, test scores as test prep improves, or sensor data as sensors are upgraded. Such a metric looks reassuring right up to the point where it fails.</w:t>
      </w:r>
    </w:p>
    <w:p>
      <w:pPr>
        <w:spacing w:after="200" w:line="300"/>
      </w:pPr>
      <w:r>
        <w:rPr>
          <w:rFonts w:ascii="Georgia" w:cs="Georgia" w:eastAsia="Georgia" w:hAnsi="Georgia"/>
          <w:b/>
          <w:bCs/>
          <w:sz w:val="23"/>
          <w:szCs w:val="23"/>
        </w:rPr>
        <w:t>What this means today:</w:t>
      </w:r>
      <w:r>
        <w:rPr>
          <w:rFonts w:ascii="Georgia" w:cs="Georgia" w:eastAsia="Georgia" w:hAnsi="Georgia"/>
          <w:sz w:val="23"/>
          <w:szCs w:val="23"/>
        </w:rPr>
        <w:t xml:space="preserve"> Hyperstability applies beyond fish. Systems that concentrate as they shrink look healthy until near the end. In a business losing customers but keeping its heaviest users, an institution losing talent but keeping its stars, or an aquifer drawn from its deepest wells, the average reading stays strong while the base quietly empties. When a trusted source that may be biased disagrees with a noisy source that is unbiased, as the catch rates and the surveys did in 1989, splitting the difference is a decision to keep half the bias, however prudent it looks. The useful question is always what would make each data stream wrong, not which one to average.</w:t>
      </w:r>
    </w:p>
    <w:p>
      <w:pPr>
        <w:spacing w:after="200" w:line="300"/>
      </w:pPr>
      <w:r>
        <w:rPr>
          <w:rFonts w:ascii="Georgia" w:cs="Georgia" w:eastAsia="Georgia" w:hAnsi="Georgia"/>
          <w:b/>
          <w:bCs/>
          <w:sz w:val="23"/>
          <w:szCs w:val="23"/>
        </w:rPr>
        <w:t>Where the lesson runs out:</w:t>
      </w:r>
      <w:r>
        <w:rPr>
          <w:rFonts w:ascii="Georgia" w:cs="Georgia" w:eastAsia="Georgia" w:hAnsi="Georgia"/>
          <w:sz w:val="23"/>
          <w:szCs w:val="23"/>
        </w:rPr>
        <w:t xml:space="preserve"> The episode does not show that front-line anecdote should always win over expert instruments. The inshore fishermen were right here, but their evidence was genuinely weak at the time, and in plenty of other episodes the anecdote was wrong and the instrument was right. The lesson also depends on slow feedback. Cod stocks reveal their true state only over years, which let the error build for a decade. In domains with fast, direct feedback, a biased instrument gets caught quickly, and this failure mode mostly cannot grow this large.</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2026-08-09T23:07:35.269Z</dcterms:created>
  <dcterms:modified xsi:type="dcterms:W3CDTF">2026-08-09T23:07:35.270Z</dcterms:modified>
</cp:coreProperties>
</file>

<file path=docProps/custom.xml><?xml version="1.0" encoding="utf-8"?>
<Properties xmlns="http://schemas.openxmlformats.org/officeDocument/2006/custom-properties" xmlns:vt="http://schemas.openxmlformats.org/officeDocument/2006/docPropsVTypes"/>
</file>