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A6D3B"/>
          <w:sz w:val="18"/>
        </w:rPr>
        <w:t>DAILY BRIEFING  /  EXPLAINED  /  AUGUST 9, 2026</w:t>
      </w:r>
    </w:p>
    <w:p>
      <w:pPr>
        <w:spacing w:after="80"/>
      </w:pPr>
      <w:r>
        <w:rPr>
          <w:b/>
          <w:color w:val="1A1A1A"/>
          <w:sz w:val="44"/>
        </w:rPr>
        <w:t>The Ming Banned Silver Three Times, Then Lost Its Currency to It</w:t>
      </w:r>
    </w:p>
    <w:p>
      <w:pPr>
        <w:spacing w:after="280"/>
      </w:pPr>
      <w:r>
        <w:rPr>
          <w:i/>
          <w:color w:val="555555"/>
          <w:sz w:val="25"/>
        </w:rPr>
        <w:t>How the world's first great fiat currency collapsed, and why the metal the emperor kept outlawing won in the end</w:t>
      </w:r>
    </w:p>
    <w:p>
      <w:pPr>
        <w:spacing w:before="280" w:after="80"/>
      </w:pPr>
      <w:r>
        <w:rPr>
          <w:b/>
          <w:color w:val="1A1A1A"/>
          <w:sz w:val="27"/>
        </w:rPr>
        <w:t>A brand-new dynasty invented paper money, then couldn't stop printing it</w:t>
      </w:r>
    </w:p>
    <w:p>
      <w:pPr>
        <w:spacing w:after="160" w:line="276" w:lineRule="auto"/>
      </w:pPr>
      <w:r>
        <w:rPr>
          <w:sz w:val="22"/>
        </w:rPr>
        <w:t>In 1375, the founding emperor of China's Ming dynasty launched a paper currency called the Great Ming Treasure Note. It was a genuine technological and administrative achievement: a printed certificate made from mulberry bark, stamped with official seals and threats against counterfeiters, and meant to circulate across a continental empire. It was one of the most ambitious money projects any government had attempted, and its face declared it would circulate “under Heaven.”</w:t>
      </w:r>
    </w:p>
    <w:p>
      <w:pPr>
        <w:spacing w:after="200"/>
      </w:pPr>
      <w:r>
        <w:rPr>
          <w:i/>
          <w:color w:val="777777"/>
          <w:sz w:val="17"/>
        </w:rPr>
        <w:t>Issuance in 1375 and the mulberry-bark composition confirmed by the British Museum and the Smithsonian National Museum of American History.</w:t>
      </w:r>
    </w:p>
    <w:p>
      <w:pPr>
        <w:spacing w:after="160" w:line="276" w:lineRule="auto"/>
      </w:pPr>
      <w:r>
        <w:rPr>
          <w:sz w:val="22"/>
        </w:rPr>
        <w:t>The emperor, Zhu Yuanzhang, had both practical and philosophical reasons. He had just driven out China's Mongol rulers, whose late-era paper money had ended in ruinous inflation, and he distrusted merchants and markets. He wanted an orderly, farming-based economy where the state, not commerce, set the terms of exchange. But running an empire took more coins than the country could mint, because bronze was expensive and scarce. Paper was a tempting bridge. It gave the state the money it needed while keeping exchange under political command.</w:t>
      </w:r>
    </w:p>
    <w:p>
      <w:pPr>
        <w:spacing w:after="160" w:line="276" w:lineRule="auto"/>
      </w:pPr>
      <w:r>
        <w:rPr>
          <w:sz w:val="22"/>
        </w:rPr>
        <w:t>The flaw that mattered is easy to miss. The note pictured a string of a thousand copper coins, but the picture was only a label and promised nothing. A holder could not walk into a government office and demand real copper or silver in exchange for the paper. The note was worth something only because the state said so and because, at first, it could be used to pay certain taxes.</w:t>
      </w:r>
    </w:p>
    <w:p>
      <w:pPr>
        <w:spacing w:before="280" w:after="80"/>
      </w:pPr>
      <w:r>
        <w:rPr>
          <w:b/>
          <w:color w:val="1A1A1A"/>
          <w:sz w:val="27"/>
        </w:rPr>
        <w:t>The government spent freely but rarely took the paper back</w:t>
      </w:r>
    </w:p>
    <w:p>
      <w:pPr>
        <w:spacing w:after="160" w:line="276" w:lineRule="auto"/>
      </w:pPr>
      <w:r>
        <w:rPr>
          <w:sz w:val="22"/>
        </w:rPr>
        <w:t>A currency stays valuable when there is steady demand to hold it. The Ming built one source of demand, since much of a tax bill could be settled in paper, and then undercut it. The court printed notes to pay salaries, rewards, and its own bills, and it set no firm limit on how many it issued. It was always easier for the state to spend new notes than to collect and retire old ones, so money poured out faster than it was pulled back in.</w:t>
      </w:r>
    </w:p>
    <w:p>
      <w:pPr>
        <w:spacing w:after="200"/>
      </w:pPr>
      <w:r>
        <w:rPr>
          <w:i/>
          <w:color w:val="777777"/>
          <w:sz w:val="17"/>
        </w:rPr>
        <w:t>Peter Bernholz, “Paper Money Inflation, Prices, Gresham's Law and Exchange Rates in Ming China,” Kredit und Kapital; Richard von Glahn, Fountain of Fortune, ch. 3.</w:t>
      </w:r>
    </w:p>
    <w:p>
      <w:pPr>
        <w:spacing w:after="160" w:line="276" w:lineRule="auto"/>
      </w:pPr>
      <w:r>
        <w:rPr>
          <w:sz w:val="22"/>
        </w:rPr>
        <w:t>Ordinary people didn't need an economic theory to react. They only had to notice that a note bought less grain or copper this month than it had last month. On paper, one guan of currency was supposed to equal a thousand copper coins. In reality, by 1393 it took more than six paper guan to get a single string of copper. The paper was losing value fast, and everyone holding it could feel it.</w:t>
      </w:r>
    </w:p>
    <w:p>
      <w:pPr>
        <w:spacing w:after="200"/>
      </w:pPr>
      <w:r>
        <w:rPr>
          <w:i/>
          <w:color w:val="777777"/>
          <w:sz w:val="17"/>
        </w:rPr>
        <w:t>Bernholz, “Paper Money Inflation,” pp. 43–45.</w:t>
      </w:r>
    </w:p>
    <w:p>
      <w:pPr>
        <w:spacing w:before="280" w:after="80"/>
      </w:pPr>
      <w:r>
        <w:rPr>
          <w:b/>
          <w:color w:val="1A1A1A"/>
          <w:sz w:val="27"/>
        </w:rPr>
        <w:t>Every ban on gold, silver, and copper quietly admitted the paper was losing</w:t>
      </w:r>
    </w:p>
    <w:p>
      <w:pPr>
        <w:spacing w:after="160" w:line="276" w:lineRule="auto"/>
      </w:pPr>
      <w:r>
        <w:rPr>
          <w:sz w:val="22"/>
        </w:rPr>
        <w:t>The state's response turns the story from an economics lesson into a lesson about how authority works. As the paper weakened, the state tried to force people back onto it by outlawing the alternatives. It ordered copper surrendered and banned in 1394. It banned silver and gold in 1397, and again in 1403. In 1428 it went further. Anyone who refused to accept paper was fined, and so were their relatives, neighbors, and local officials who failed to report them.</w:t>
      </w:r>
    </w:p>
    <w:p>
      <w:pPr>
        <w:spacing w:after="200"/>
      </w:pPr>
      <w:r>
        <w:rPr>
          <w:i/>
          <w:color w:val="777777"/>
          <w:sz w:val="17"/>
        </w:rPr>
        <w:t>Bernholz, “Paper Money Inflation,” pp. 45–46; von Glahn, Fountain of Fortune, ch. 2.</w:t>
      </w:r>
    </w:p>
    <w:p>
      <w:pPr>
        <w:spacing w:after="160" w:line="276" w:lineRule="auto"/>
      </w:pPr>
      <w:r>
        <w:rPr>
          <w:sz w:val="22"/>
        </w:rPr>
        <w:t>Each ban revealed what it was trying to hide. If people had to be forbidden from using silver, it was because they preferred silver. Coercion also couldn't fix the underlying problem, because people had not misunderstood the law. A merchant forced to take a shrinking note simply protected himself another way. He raised the paper price of his goods, unloaded the note as fast as he could, or moved the real deal behind closed doors. The law changed how people dodged the paper, but their reason for dodging it remained.</w:t>
      </w:r>
    </w:p>
    <w:p>
      <w:pPr>
        <w:spacing w:before="280" w:after="80"/>
      </w:pPr>
      <w:r>
        <w:rPr>
          <w:b/>
          <w:color w:val="1A1A1A"/>
          <w:sz w:val="27"/>
        </w:rPr>
        <w:t>The one time the state took paper back, the paper recovered</w:t>
      </w:r>
    </w:p>
    <w:p>
      <w:pPr>
        <w:spacing w:after="160" w:line="276" w:lineRule="auto"/>
      </w:pPr>
      <w:r>
        <w:rPr>
          <w:sz w:val="22"/>
        </w:rPr>
        <w:t>The decline was not fated. Starting in 1425, the government aggressively pulled paper out of circulation for a stretch, requiring shop fees and other levies to be paid in notes and then destroying them. It withdrew hundreds of millions of guan over a few years, and the emperor announced that the currency was circulating well again, which it was. This brief success is the most telling detail in the episode. When the state reliably absorbed its own paper, belief in the paper returned. Then the court relaxed the effort and went back to heavy printing, and the recovery faded.</w:t>
      </w:r>
    </w:p>
    <w:p>
      <w:pPr>
        <w:spacing w:after="200"/>
      </w:pPr>
      <w:r>
        <w:rPr>
          <w:i/>
          <w:color w:val="777777"/>
          <w:sz w:val="17"/>
        </w:rPr>
        <w:t>Bernholz, “Paper Money Inflation,” pp. 46–47.</w:t>
      </w:r>
    </w:p>
    <w:p>
      <w:pPr>
        <w:spacing w:before="280" w:after="80"/>
      </w:pPr>
      <w:r>
        <w:rPr>
          <w:b/>
          <w:color w:val="1A1A1A"/>
          <w:sz w:val="27"/>
        </w:rPr>
        <w:t>The winner was a money the emperor never printed and kept trying to ban</w:t>
      </w:r>
    </w:p>
    <w:p>
      <w:pPr>
        <w:spacing w:after="160" w:line="276" w:lineRule="auto"/>
      </w:pPr>
      <w:r>
        <w:rPr>
          <w:sz w:val="22"/>
        </w:rPr>
        <w:t>The Yongle emperor spent decades on costly wars, a new capital at Beijing, and the famous treasure-fleet voyages, all partly financed by more paper. By the time he died in 1425, the notes traded at under two percent of their stated value. In 1435–1436 the government gave up the fight, legalized copper again, and allowed land taxes to be paid in silver. Paper quietly vanished from everyday private trade.</w:t>
      </w:r>
    </w:p>
    <w:p>
      <w:pPr>
        <w:spacing w:after="200"/>
      </w:pPr>
      <w:r>
        <w:rPr>
          <w:i/>
          <w:color w:val="777777"/>
          <w:sz w:val="17"/>
        </w:rPr>
        <w:t>Von Glahn, Fountain of Fortune, ch. 3; von Glahn, “The Changing Significance of Latin American Silver in the Chinese Economy.”</w:t>
      </w:r>
    </w:p>
    <w:p>
      <w:pPr>
        <w:spacing w:after="160" w:line="276" w:lineRule="auto"/>
      </w:pPr>
      <w:r>
        <w:rPr>
          <w:sz w:val="22"/>
        </w:rPr>
        <w:t>Paper's replacement was silver, the very metal the state had banned three separate times. Silver was not even an official coin. It circulated as raw weighed lumps, with all the hassle of checking purity and reconciling regional standards. People chose it anyway, because it was the one store of value the government could neither print into worthlessness nor fully stamp out. Faced with bad official paper and unreliable official coin, the market coordinated on its own around a medium the state didn't control.</w:t>
      </w:r>
    </w:p>
    <w:p>
      <w:pPr>
        <w:spacing w:after="160" w:line="276" w:lineRule="auto"/>
      </w:pPr>
      <w:r>
        <w:rPr>
          <w:sz w:val="22"/>
        </w:rPr>
        <w:t>Silver's victory had its own cost. It gave commerce a stable standard, but China didn't have much silver of its own in the fifteenth century. The fix therefore traded one weakness for another. There was less government abuse of the money supply, but a new dependence on silver arriving from abroad, first from Japan and later in floods from the Americas. The country escaped a currency its rulers could debase and took on one whose supply its rulers couldn't guarantee.</w:t>
      </w:r>
    </w:p>
    <w:p>
      <w:pPr>
        <w:spacing w:after="200"/>
      </w:pPr>
      <w:r>
        <w:rPr>
          <w:i/>
          <w:color w:val="777777"/>
          <w:sz w:val="17"/>
        </w:rPr>
        <w:t>Von Glahn, “The Changing Significance of Latin American Silver in the Chinese Economy.”</w:t>
      </w:r>
    </w:p>
    <w:p>
      <w:pPr>
        <w:spacing w:before="280" w:after="80"/>
      </w:pPr>
      <w:r>
        <w:rPr>
          <w:b/>
          <w:color w:val="1A1A1A"/>
          <w:sz w:val="27"/>
        </w:rPr>
        <w:t>Economists debate whether printing caused the collapse</w:t>
      </w:r>
    </w:p>
    <w:p>
      <w:pPr>
        <w:spacing w:after="160" w:line="276" w:lineRule="auto"/>
      </w:pPr>
      <w:r>
        <w:rPr>
          <w:sz w:val="22"/>
        </w:rPr>
        <w:t>One genuine dispute among economists sharpens the lesson instead of muddying it. Neil Wallace, Guoqiang Sun, and Suzhou Xie argue that the collapse wasn't simply caused by a runaway printing press. Because hard money was always available as an option, even a small drop in confidence could trigger a stampede out of paper and into metal that fed on itself like a bank run. That is a fair correction to a too-simple “they printed too much” story. It doesn't let the design off the hook, though. Confidence was so fragile in the first place because the state accepted its own paper inconsistently, never held issuance to a limit, and kept banning the alternatives. Shaky institutions are what made the stampede possible.</w:t>
      </w:r>
    </w:p>
    <w:p>
      <w:pPr>
        <w:spacing w:after="200"/>
      </w:pPr>
      <w:r>
        <w:rPr>
          <w:i/>
          <w:color w:val="777777"/>
          <w:sz w:val="17"/>
        </w:rPr>
        <w:t>Neil Wallace, Guoqiang Sun, and Suzhou Xie, “The Sung and Ming Paper Monies: Currency Competition and Currency Bubbles,” Journal of Macroeconomics.</w:t>
      </w:r>
    </w:p>
    <w:p>
      <w:pPr>
        <w:spacing w:before="280" w:after="80"/>
      </w:pPr>
      <w:r>
        <w:rPr>
          <w:b/>
          <w:color w:val="1A1A1A"/>
          <w:sz w:val="27"/>
        </w:rPr>
        <w:t>Issuers and the promises they hand out</w:t>
      </w:r>
    </w:p>
    <w:p>
      <w:pPr>
        <w:spacing w:after="160" w:line="276" w:lineRule="auto"/>
      </w:pPr>
      <w:r>
        <w:rPr>
          <w:sz w:val="22"/>
        </w:rPr>
        <w:t>The briefing's main point is simple and durable. You make a promise credible by bearing it yourself, not by describing it or by punishing people for doubting it. The Ming told everyone the paper was worth a thousand coins, but the state itself wouldn't consistently take the paper back at that value. That gap between what it asked others to accept and what it accepted itself was the whole problem. In the one period when the state closed the gap by absorbing its own notes, the currency recovered.</w:t>
      </w:r>
    </w:p>
    <w:p>
      <w:pPr>
        <w:spacing w:after="160" w:line="276" w:lineRule="auto"/>
      </w:pPr>
      <w:r>
        <w:rPr>
          <w:sz w:val="22"/>
        </w:rPr>
        <w:t>The same test applies outside money. Whenever an institution asks people to accept something on faith, such as a token, a deadline, a guarantee, a standard, or a set of internal credits, the question is whether the sponsor puts itself under the same rule at full force. A company that issues points it won't honor, a manager who sets a deadline they treat as optional, and a platform that publishes a standard it exempts itself from are all printing Ming notes. The trust holds only as long as the issuer visibly shares the constraint it imposes on everyone else.</w:t>
      </w:r>
    </w:p>
    <w:p>
      <w:pPr>
        <w:spacing w:after="160" w:line="276" w:lineRule="auto"/>
      </w:pPr>
      <w:r>
        <w:rPr>
          <w:b/>
          <w:color w:val="1A1A1A"/>
          <w:sz w:val="22"/>
        </w:rPr>
        <w:t>Why this matters:</w:t>
      </w:r>
      <w:r>
        <w:rPr>
          <w:sz w:val="22"/>
        </w:rPr>
        <w:t xml:space="preserve"> Authority can create a unit of value, but it cannot command belief in that value. Trust in any promise, whether a currency, a guarantee, or a standard, comes from the issuer accepting its own promise at full value, not from ordering others to. The Ming paper recovered while the state was taking it back and died once the state stopped.</w:t>
      </w:r>
    </w:p>
    <w:p>
      <w:pPr>
        <w:spacing w:after="160" w:line="276" w:lineRule="auto"/>
      </w:pPr>
      <w:r>
        <w:rPr>
          <w:b/>
          <w:color w:val="1A1A1A"/>
          <w:sz w:val="22"/>
        </w:rPr>
        <w:t>What this means today:</w:t>
      </w:r>
      <w:r>
        <w:rPr>
          <w:sz w:val="22"/>
        </w:rPr>
        <w:t xml:space="preserve"> Loyalty points, service-level guarantees, internal “credits,” compliance standards, and even deadlines are all promises someone is asking others to hold. Watch whether the issuer submits to the same terms it imposes. If the sponsor can cheaply create more claims but rarely honors or retires them, expect quiet erosion, and expect coercion to change the form of avoidance without ending it.</w:t>
      </w:r>
    </w:p>
    <w:p>
      <w:pPr>
        <w:spacing w:after="160" w:line="276" w:lineRule="auto"/>
      </w:pPr>
      <w:r>
        <w:rPr>
          <w:b/>
          <w:color w:val="1A1A1A"/>
          <w:sz w:val="22"/>
        </w:rPr>
        <w:t>Where the lesson runs out:</w:t>
      </w:r>
      <w:r>
        <w:rPr>
          <w:sz w:val="22"/>
        </w:rPr>
        <w:t xml:space="preserve"> “Share the constraint” is right in spirit but is not a recipe to copy literally. Modern currencies work through deep tax systems, banks, and central banks, and forcing metallic backing or currency competition onto them can create the very instability the Ming suffered. The analogy fits when three things are true at once: the issuer can cheaply expand its claims, people have real alternatives, and the issuer's own means of accepting or retiring those claims is narrow or unreliable.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