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7A1F1F"/>
          <w:spacing w:val="30"/>
          <w:sz w:val="16"/>
          <w:szCs w:val="16"/>
        </w:rPr>
        <w:t xml:space="preserve">LEARNINGS FROM HISTORY  /  AUGUST 9, 2026</w:t>
      </w:r>
    </w:p>
    <w:p>
      <w:pPr>
        <w:spacing w:after="80"/>
      </w:pPr>
      <w:r>
        <w:rPr>
          <w:rFonts w:ascii="Georgia" w:cs="Georgia" w:eastAsia="Georgia" w:hAnsi="Georgia"/>
          <w:b/>
          <w:bCs/>
          <w:color w:val="1A1A1A"/>
          <w:sz w:val="40"/>
          <w:szCs w:val="40"/>
        </w:rPr>
        <w:t xml:space="preserve">The Money Recovered the One Year the State Took It Back — Then Broke It Again</w:t>
      </w:r>
    </w:p>
    <w:p>
      <w:pPr>
        <w:pBdr>
          <w:bottom w:val="single" w:color="CCCCCC" w:sz="6" w:space="12"/>
        </w:pBdr>
        <w:spacing w:after="200"/>
      </w:pPr>
      <w:r>
        <w:rPr>
          <w:rFonts w:ascii="Georgia" w:cs="Georgia" w:eastAsia="Georgia" w:hAnsi="Georgia"/>
          <w:i/>
          <w:iCs/>
          <w:color w:val="5A5A5A"/>
          <w:sz w:val="24"/>
          <w:szCs w:val="24"/>
        </w:rPr>
        <w:t>How China's Great Ming Treasure Note proved its own collapse was a choice.</w:t>
      </w:r>
    </w:p>
    <w:p>
      <w:pPr>
        <w:spacing w:after="160" w:line="300"/>
        <w:jc w:val="both"/>
      </w:pPr>
      <w:r>
        <w:t>Six centuries ago, China's new Ming dynasty printed the world's most ambitious paper currency and watched it rot to less than two cents on the guan. For a few years in the 1420s and 30s, the state proved it could fix the currency, and then it chose not to. That stretch, more than the failure itself, makes the episode a cleaner lesson about trust than almost any modern finance story.</w:t>
      </w:r>
    </w:p>
    <w:p>
      <w:pPr>
        <w:spacing w:after="160" w:line="300"/>
        <w:jc w:val="both"/>
      </w:pPr>
      <w:r>
        <w:t xml:space="preserve">In 1375, the founding Ming emperor issued the Great Ming Treasure Note, a paper bill printed on mulberry bark whose face announced it would circulate "under Heaven." It was not a crude experiment. The note pictured a string of 1,000 copper coins, carried official seals, and threatened counterfeiters with death. Within about fifty years it was worth less than two percent of what it claimed. Plenty of paper money works fine, so paper money is not inherently doomed. What deserves attention is </w:t>
      </w:r>
      <w:r>
        <w:rPr>
          <w:i/>
          <w:iCs/>
        </w:rPr>
        <w:t>why</w:t>
      </w:r>
      <w:r>
        <w:t xml:space="preserve"> this one failed, because the reason is unusually clear.</w:t>
      </w:r>
    </w:p>
    <w:p>
      <w:pPr>
        <w:spacing w:after="200"/>
      </w:pPr>
      <w:r>
        <w:rPr>
          <w:rFonts w:ascii="Arial" w:cs="Arial" w:eastAsia="Arial" w:hAnsi="Arial"/>
          <w:i/>
          <w:iCs/>
          <w:color w:val="5A5A5A"/>
          <w:sz w:val="16"/>
          <w:szCs w:val="16"/>
        </w:rPr>
        <w:t xml:space="preserve">Sources: Great Ming Treasure Note, Wikipedia; Smarthistory, Ming banknote</w:t>
      </w:r>
    </w:p>
    <w:p>
      <w:pPr>
        <w:keepNext/>
        <w:spacing w:after="120" w:before="320"/>
      </w:pPr>
      <w:r>
        <w:rPr>
          <w:rFonts w:ascii="Arial" w:cs="Arial" w:eastAsia="Arial" w:hAnsi="Arial"/>
          <w:b/>
          <w:bCs/>
          <w:color w:val="7A1F1F"/>
          <w:sz w:val="26"/>
          <w:szCs w:val="26"/>
        </w:rPr>
        <w:t>A note that could not be redeemed</w:t>
      </w:r>
    </w:p>
    <w:p>
      <w:pPr>
        <w:spacing w:after="160" w:line="300"/>
        <w:jc w:val="both"/>
      </w:pPr>
      <w:r>
        <w:t xml:space="preserve">The picture of a thousand copper coins on the note described what the paper was </w:t>
      </w:r>
      <w:r>
        <w:rPr>
          <w:i/>
          <w:iCs/>
        </w:rPr>
        <w:t>worth</w:t>
      </w:r>
      <w:r>
        <w:t>, its unit of account, but it did not guarantee that you could ever trade the paper back for actual metal. There was no redemption window. You held the note because the law said it had value, and the state did not stand ready to buy it back. That removed the one thing that keeps people calm, the ability to cash out. People who can always convert a token into something solid rarely need to, but when they can't, every rumor about its value becomes a reason to spend it fast.</w:t>
      </w:r>
    </w:p>
    <w:p>
      <w:pPr>
        <w:spacing w:after="160" w:line="300"/>
        <w:jc w:val="both"/>
      </w:pPr>
      <w:r>
        <w:t>The dynasty reached for paper for practical reasons. Zhu Yuanzhang, the Hongwu emperor, had just pushed the Mongols out and inherited an economy scarred by the runaway inflation of the previous regime. He distrusted merchants and wanted taxes paid in grain and labor, an economy the state could see and command directly. But bronze coin was expensive and slow to mint at the scale a continental empire needed. Paper was the shortcut, providing liquidity without loosening political control over exchange.</w:t>
      </w:r>
    </w:p>
    <w:p>
      <w:pPr>
        <w:keepNext/>
        <w:spacing w:after="120" w:before="320"/>
      </w:pPr>
      <w:r>
        <w:rPr>
          <w:rFonts w:ascii="Arial" w:cs="Arial" w:eastAsia="Arial" w:hAnsi="Arial"/>
          <w:b/>
          <w:bCs/>
          <w:color w:val="7A1F1F"/>
          <w:sz w:val="26"/>
          <w:szCs w:val="26"/>
        </w:rPr>
        <w:t xml:space="preserve">The state spent notes freely and took very few back</w:t>
      </w:r>
    </w:p>
    <w:p>
      <w:pPr>
        <w:spacing w:after="160" w:line="300"/>
        <w:jc w:val="both"/>
      </w:pPr>
      <w:r>
        <w:t xml:space="preserve">A currency needs a drain as well as a tap. At first the Ming had one. Much of the commercial tax, and some land obligations, could be paid in paper at the official rate, which gave a note real use, and a reason to want one, even without metal redemption. The problem was arithmetic. The court paid </w:t>
      </w:r>
      <w:r>
        <w:rPr>
          <w:i/>
          <w:iCs/>
        </w:rPr>
        <w:t>out</w:t>
      </w:r>
      <w:r>
        <w:t xml:space="preserve"> notes constantly, for salaries, rewards, and state purchases, but built no reliable way to pull them back </w:t>
      </w:r>
      <w:r>
        <w:rPr>
          <w:i/>
          <w:iCs/>
        </w:rPr>
        <w:t>in</w:t>
      </w:r>
      <w:r>
        <w:t>. Spending new paper is easy, while retiring old paper is work nobody in power wants to do. A small drain faced a nearly unlimited flood.</w:t>
      </w:r>
    </w:p>
    <w:p>
      <w:pPr>
        <w:spacing w:after="160" w:line="300"/>
        <w:jc w:val="both"/>
      </w:pPr>
      <w:r>
        <w:t>Ordinary people didn't need economic theory to notice. They compared what a note bought yesterday with what it bought today. The official rate said one guan of paper equaled 1,000 copper coins, but by 1393, market records show, it took roughly 6.3 paper guan to get one string of copper. In 1394 the government banned copper from circulation, then banned silver and gold in 1397 and again in 1403. Each ban admitted the problem, since a government does not outlaw the alternatives unless people are fleeing to them.</w:t>
      </w:r>
    </w:p>
    <w:p>
      <w:pPr>
        <w:spacing w:after="200"/>
      </w:pPr>
      <w:r>
        <w:rPr>
          <w:rFonts w:ascii="Arial" w:cs="Arial" w:eastAsia="Arial" w:hAnsi="Arial"/>
          <w:i/>
          <w:iCs/>
          <w:color w:val="5A5A5A"/>
          <w:sz w:val="16"/>
          <w:szCs w:val="16"/>
        </w:rPr>
        <w:t xml:space="preserve">Sources: Hoover Institution, "The Rise and Demise of Paper Money in Imperial China"</w:t>
      </w:r>
    </w:p>
    <w:p>
      <w:pPr>
        <w:keepNext/>
        <w:spacing w:after="120" w:before="320"/>
      </w:pPr>
      <w:r>
        <w:rPr>
          <w:rFonts w:ascii="Arial" w:cs="Arial" w:eastAsia="Arial" w:hAnsi="Arial"/>
          <w:b/>
          <w:bCs/>
          <w:color w:val="7A1F1F"/>
          <w:sz w:val="26"/>
          <w:szCs w:val="26"/>
        </w:rPr>
        <w:t>Yongle's printing and the 1428 penalties</w:t>
      </w:r>
    </w:p>
    <w:p>
      <w:pPr>
        <w:spacing w:after="160" w:line="300"/>
        <w:jc w:val="both"/>
      </w:pPr>
      <w:r>
        <w:t>By 1425, when the Yongle emperor died, the notes traded below two percent of face value. Yongle had made it worse by funding the move of the capital to Beijing, wars in Mongolia and Vietnam, and Zheng He's great treasure fleets partly through printing more paper. That wasn't stupid. A usurper needs visible achievements, and depreciation is a quiet tax on whoever is holding notes when their value drops, one the government never had to announce or vote on.</w:t>
      </w:r>
    </w:p>
    <w:p>
      <w:pPr>
        <w:spacing w:after="160" w:line="300"/>
        <w:jc w:val="both"/>
      </w:pPr>
      <w:r>
        <w:t xml:space="preserve">Then the state escalated from managing money to policing behavior. A 1428 order fined anyone who refused to accept paper and punished their relatives, neighbors, and local headmen for failing to report the refusal. It didn't work, and the reason is central to the whole episode. A merchant forced to take a note he distrusts simply protects himself another way. He raises the paper price, unloads the note as fast as he can, or moves the real deal behind closed doors. Coercion changed the </w:t>
      </w:r>
      <w:r>
        <w:rPr>
          <w:i/>
          <w:iCs/>
        </w:rPr>
        <w:t>form</w:t>
      </w:r>
      <w:r>
        <w:t xml:space="preserve"> of avoidance but never touched the </w:t>
      </w:r>
      <w:r>
        <w:rPr>
          <w:i/>
          <w:iCs/>
        </w:rPr>
        <w:t>reason</w:t>
      </w:r>
      <w:r>
        <w:t xml:space="preserve"> for it.</w:t>
      </w:r>
    </w:p>
    <w:p>
      <w:pPr>
        <w:keepNext/>
        <w:spacing w:after="120" w:before="320"/>
      </w:pPr>
      <w:r>
        <w:rPr>
          <w:rFonts w:ascii="Arial" w:cs="Arial" w:eastAsia="Arial" w:hAnsi="Arial"/>
          <w:b/>
          <w:bCs/>
          <w:color w:val="7A1F1F"/>
          <w:sz w:val="26"/>
          <w:szCs w:val="26"/>
        </w:rPr>
        <w:t>A few years of withdrawals, then a return to printing</w:t>
      </w:r>
    </w:p>
    <w:p>
      <w:pPr>
        <w:spacing w:after="160" w:line="300"/>
        <w:jc w:val="both"/>
      </w:pPr>
      <w:r>
        <w:t>What the court did next shows that the decline was never mechanically inevitable, which makes this more than a morality tale about printing presses. Starting in 1425, the court got serious about the drain. It required shop fees in paper and widened other levies specifically to pull notes out of circulation, withdrawing 200 million guan by 1431 and 288 million by 1433. It worked, and the emperor announced that notes were circulating well again. A credible, sustained effort to take money back could rebuild demand for it.</w:t>
      </w:r>
    </w:p>
    <w:p>
      <w:pPr>
        <w:spacing w:after="160" w:line="300"/>
        <w:jc w:val="both"/>
      </w:pPr>
      <w:r>
        <w:t>Then the dynasty declared victory and eased off. It cut the withdrawal levies and resumed heavy issuance, restoring the same lopsided arrangement of paying out a lot and taking back a little. The recovery evaporated. The currency broke, the state fixed it, the state stopped fixing it, and it broke again. That sequence is the strongest possible evidence that the problem lay in the design rather than in paper itself.</w:t>
      </w:r>
    </w:p>
    <w:p>
      <w:pPr>
        <w:spacing w:after="200"/>
      </w:pPr>
      <w:r>
        <w:rPr>
          <w:rFonts w:ascii="Arial" w:cs="Arial" w:eastAsia="Arial" w:hAnsi="Arial"/>
          <w:i/>
          <w:iCs/>
          <w:color w:val="5A5A5A"/>
          <w:sz w:val="16"/>
          <w:szCs w:val="16"/>
        </w:rPr>
        <w:t xml:space="preserve">Sources: Peter Bernholz, "Paper Money Inflation, Prices, Gresham's Law and Exchange Rates in Ming China," Kredit und Kapital 30, no. 1</w:t>
      </w:r>
    </w:p>
    <w:p>
      <w:pPr>
        <w:keepNext/>
        <w:spacing w:after="120" w:before="320"/>
      </w:pPr>
      <w:r>
        <w:rPr>
          <w:rFonts w:ascii="Arial" w:cs="Arial" w:eastAsia="Arial" w:hAnsi="Arial"/>
          <w:b/>
          <w:bCs/>
          <w:color w:val="7A1F1F"/>
          <w:sz w:val="26"/>
          <w:szCs w:val="26"/>
        </w:rPr>
        <w:t xml:space="preserve">The winner was a money the state couldn't print</w:t>
      </w:r>
    </w:p>
    <w:p>
      <w:pPr>
        <w:spacing w:after="160" w:line="300"/>
        <w:jc w:val="both"/>
      </w:pPr>
      <w:r>
        <w:t>In 1435–36 the court gave up, legalizing copper again and letting land tax be paid in silver. Paper drained out of everyday private trade. People settled on silver, though not as an official coin. It circulated as weighed lumps of bullion, with all the hassle of assaying purity and reconciling regional standards. Nobody designed silver as the national currency, and it won by default. Faced with bad official paper, scarce official coin, and repeated bans, people quietly coordinated on the one medium the government could neither print nor fully suppress.</w:t>
      </w:r>
    </w:p>
    <w:p>
      <w:pPr>
        <w:spacing w:after="160" w:line="300"/>
        <w:jc w:val="both"/>
      </w:pPr>
      <w:r>
        <w:t>Silver's victory had its own cost. Silver gave commerce a stable standard and became the backbone of Ming state finance, but China didn't mine much of it in the fifteenth century. The escape from paper's chaos therefore traded one problem for another. Instead of a state that could dilute your money at will, there was now an economy dependent on the supply of a metal that mostly had to arrive from abroad, first from Japan and later in vast quantities from the Americas. Solving one loss of control exposed a different one.</w:t>
      </w:r>
    </w:p>
    <w:p>
      <w:pPr>
        <w:spacing w:after="200"/>
      </w:pPr>
      <w:r>
        <w:rPr>
          <w:rFonts w:ascii="Arial" w:cs="Arial" w:eastAsia="Arial" w:hAnsi="Arial"/>
          <w:i/>
          <w:iCs/>
          <w:color w:val="5A5A5A"/>
          <w:sz w:val="16"/>
          <w:szCs w:val="16"/>
        </w:rPr>
        <w:t xml:space="preserve">Sources: Richard von Glahn, The Rise and Demise of Paper Money in Imperial China, 1000–1500</w:t>
      </w:r>
    </w:p>
    <w:p>
      <w:pPr>
        <w:keepNext/>
        <w:spacing w:after="120" w:before="320"/>
      </w:pPr>
      <w:r>
        <w:rPr>
          <w:rFonts w:ascii="Arial" w:cs="Arial" w:eastAsia="Arial" w:hAnsi="Arial"/>
          <w:b/>
          <w:bCs/>
          <w:color w:val="7A1F1F"/>
          <w:sz w:val="26"/>
          <w:szCs w:val="26"/>
        </w:rPr>
        <w:t>A competing explanation from economists</w:t>
      </w:r>
    </w:p>
    <w:p>
      <w:pPr>
        <w:spacing w:after="160" w:line="300"/>
        <w:jc w:val="both"/>
      </w:pPr>
      <w:r>
        <w:t>It would be too neat to say "they printed too much, so it collapsed." The economists Neil Wallace, Guoqiang Sun, and Suzhou Xie argue that because metal money was always available, even small shifts in what people expected paper to be worth could set off a self-feeding stampede into silver and copper, a bubble driven by competition between currencies as well as by the volume of printing. That's a fair correction and worth holding onto. It doesn't clear the design, though. Inconsistent tax acceptance, an unenforced official rate, renewed printing, and outright bans are exactly what makes expectations that fragile in the first place. The two explanations point at the same failure from different angles.</w:t>
      </w:r>
    </w:p>
    <w:p>
      <w:pPr>
        <w:spacing w:after="200"/>
      </w:pPr>
      <w:r>
        <w:rPr>
          <w:rFonts w:ascii="Arial" w:cs="Arial" w:eastAsia="Arial" w:hAnsi="Arial"/>
          <w:i/>
          <w:iCs/>
          <w:color w:val="5A5A5A"/>
          <w:sz w:val="16"/>
          <w:szCs w:val="16"/>
        </w:rPr>
        <w:t xml:space="preserve">Sources: Neil Wallace, Guoqiang Sun, Suzhou Xie, "The Sung and Ming Paper Monies: Currency Competition and Currency Bubbles," Journal of Macroeconomics 17, no. 2</w:t>
      </w:r>
    </w:p>
    <w:p>
      <w:pPr>
        <w:pBdr>
          <w:bottom w:val="single" w:color="CCCCCC" w:sz="6" w:space="8"/>
        </w:pBdr>
        <w:spacing w:after="200" w:before="200"/>
      </w:pPr>
    </w:p>
    <w:p>
      <w:pPr>
        <w:spacing w:after="160" w:line="300"/>
      </w:pPr>
      <w:r>
        <w:rPr>
          <w:b/>
          <w:bCs/>
        </w:rPr>
        <w:t>Why this matters:</w:t>
      </w:r>
      <w:r>
        <w:t xml:space="preserve"> A promise becomes believable when the one making it has to live under it too, not when it's described in impressive language or backed by threats. The Ming state told everyone to value its notes but wouldn't reliably take them back at full worth, and no amount of law closed that gap. When it did start absorbing its own notes through taxes, belief returned. The sponsor of a promise has to share the constraint it imposes on everyone else.</w:t>
      </w:r>
    </w:p>
    <w:p>
      <w:pPr>
        <w:spacing w:after="160" w:line="300"/>
      </w:pPr>
      <w:r>
        <w:rPr>
          <w:b/>
          <w:bCs/>
        </w:rPr>
        <w:t>What this means today:</w:t>
      </w:r>
      <w:r>
        <w:t xml:space="preserve"> The pattern shows up whenever an organization asks people to trust a token it controls, such as company scrip, loyalty points, a service-level guarantee, an internal deadline, or a standard it sets. Watch what the sponsor takes back, not what it tells you to hold. The question is always whether the issuer accepts its own promise at full force or gets to create claims cheaply while everyone else is stuck honoring them.</w:t>
      </w:r>
    </w:p>
    <w:p>
      <w:pPr>
        <w:spacing w:after="160" w:line="300"/>
      </w:pPr>
      <w:r>
        <w:rPr>
          <w:b/>
          <w:bCs/>
        </w:rPr>
        <w:t>Where the lesson runs out:</w:t>
      </w:r>
      <w:r>
        <w:t xml:space="preserve"> The episode does not prove that paper money needs metal backing or that competing currencies are healthy. Modern currencies rest on deep tax systems, banks, and central-bank tools the Ming never had, and forced convertibility can spread crises instead of preventing them. The Ming lesson holds specifically when a sponsor can cheaply expand its claims, participants have real alternatives, and the sponsor's way of taking claims back is narrow or unreliable. Copying medieval convertibility mechanically into a modern institution could manufacture the very instability it was meant to avoid.</w:t>
      </w:r>
    </w:p>
    <w:sectPr>
      <w:pgSz w:w="12240" w:h="15840"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2026-08-09T17:45:22.421Z</dcterms:created>
  <dcterms:modified xsi:type="dcterms:W3CDTF">2026-08-09T17:45:22.421Z</dcterms:modified>
</cp:coreProperties>
</file>

<file path=docProps/custom.xml><?xml version="1.0" encoding="utf-8"?>
<Properties xmlns="http://schemas.openxmlformats.org/officeDocument/2006/custom-properties" xmlns:vt="http://schemas.openxmlformats.org/officeDocument/2006/docPropsVTypes"/>
</file>