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sz w:val="40"/>
          <w:szCs w:val="40"/>
        </w:rPr>
        <w:t xml:space="preserve">The Cure Worked at 99.8 Percent — and Could Only Decay</w:t>
      </w:r>
    </w:p>
    <w:p>
      <w:pPr>
        <w:spacing w:after="360"/>
      </w:pPr>
      <w:r>
        <w:rPr>
          <w:rFonts w:ascii="Georgia" w:cs="Georgia" w:eastAsia="Georgia" w:hAnsi="Georgia"/>
          <w:color w:val="888888"/>
          <w:sz w:val="19"/>
          <w:szCs w:val="19"/>
        </w:rPr>
        <w:t xml:space="preserve">Learnings from History — August 10, 2026</w:t>
      </w:r>
    </w:p>
    <w:p>
      <w:pPr>
        <w:spacing w:after="200" w:line="300"/>
      </w:pPr>
      <w:r>
        <w:rPr>
          <w:rFonts w:ascii="Georgia" w:cs="Georgia" w:eastAsia="Georgia" w:hAnsi="Georgia"/>
          <w:sz w:val="23"/>
          <w:szCs w:val="23"/>
        </w:rPr>
        <w:t>In 1950, after fourteen years of careful trials had convinced them it would not work at all, Australian scientists released a virus that killed 99.8 percent of the rabbits it infected. Within a decade, evolution had taken most of that gain back. The episode remains the clearest recorded case of something every planner should absorb: an intervention against a living, adapting system reaches its peak effectiveness briefly and does not hold it.</w:t>
      </w:r>
    </w:p>
    <w:p>
      <w:pPr>
        <w:pStyle w:val="Heading1"/>
        <w:spacing w:after="200" w:before="360"/>
      </w:pPr>
      <w:r>
        <w:rPr>
          <w:rFonts w:ascii="Georgia" w:cs="Georgia" w:eastAsia="Georgia" w:hAnsi="Georgia"/>
          <w:b/>
          <w:bCs/>
          <w:color w:val="1a1a1a"/>
          <w:sz w:val="28"/>
          <w:szCs w:val="28"/>
        </w:rPr>
        <w:t xml:space="preserve">Fourteen Years of Honest Testing Said It Would Fail</w:t>
      </w:r>
    </w:p>
    <w:p>
      <w:pPr>
        <w:spacing w:after="200" w:line="300"/>
      </w:pPr>
      <w:r>
        <w:rPr>
          <w:rFonts w:ascii="Georgia" w:cs="Georgia" w:eastAsia="Georgia" w:hAnsi="Georgia"/>
          <w:sz w:val="23"/>
          <w:szCs w:val="23"/>
        </w:rPr>
        <w:t>Australia’s rabbits were a slow-motion agricultural disaster. Twenty-four European rabbits released for sport in Victoria in 1859 had become, by 1950, an estimated 600 million animals stripping pasture across the continent, degrading soil, and competing directly with the sheep that produced Australia’s largest export. Poisoning, shooting, warren-ripping, and a 1,100-mile rabbit-proof fence had all failed to contain them.</w:t>
      </w:r>
    </w:p>
    <w:p>
      <w:pPr>
        <w:spacing w:after="240"/>
      </w:pPr>
      <w:r>
        <w:rPr>
          <w:rFonts w:ascii="Georgia" w:cs="Georgia" w:eastAsia="Georgia" w:hAnsi="Georgia"/>
          <w:i/>
          <w:iCs/>
          <w:color w:val="666666"/>
          <w:sz w:val="18"/>
          <w:szCs w:val="18"/>
        </w:rPr>
        <w:t xml:space="preserve">CSIRO, “Myxomatosis to control rabbits,” CSIROpedia; National Museum of Australia, “Rabbits introduced.”</w:t>
      </w:r>
    </w:p>
    <w:p>
      <w:pPr>
        <w:spacing w:after="200" w:line="300"/>
      </w:pPr>
      <w:r>
        <w:rPr>
          <w:rFonts w:ascii="Georgia" w:cs="Georgia" w:eastAsia="Georgia" w:hAnsi="Georgia"/>
          <w:sz w:val="23"/>
          <w:szCs w:val="23"/>
        </w:rPr>
        <w:t>The idea of fighting the rabbits with disease had circulated since the 1910s. Its most persistent champion was Dame Jean Macnamara, a Melbourne physician who lobbied the government for years to test myxoma virus, a South American poxvirus that is harmless to humans and to Australian wildlife but lethal to European rabbits. The government’s scientists tested it, as careful scientists should. Between 1936 and 1943, CSIR researchers led by Lionel Bull ran trials on Wardang Island off South Australia. The virus reliably killed the rabbits they inoculated, and then the outbreaks sputtered out. It would not spread on its own, and in 1943 the program was shut down as a failure.</w:t>
      </w:r>
    </w:p>
    <w:p>
      <w:pPr>
        <w:spacing w:after="240"/>
      </w:pPr>
      <w:r>
        <w:rPr>
          <w:rFonts w:ascii="Georgia" w:cs="Georgia" w:eastAsia="Georgia" w:hAnsi="Georgia"/>
          <w:i/>
          <w:iCs/>
          <w:color w:val="666666"/>
          <w:sz w:val="18"/>
          <w:szCs w:val="18"/>
        </w:rPr>
        <w:t xml:space="preserve">Rabbit Free Australia, “Wardang Island’s rabbit history”; Fenner &amp; Ratcliffe, Myxomatosis (Cambridge University Press, 1965).</w:t>
      </w:r>
    </w:p>
    <w:p>
      <w:pPr>
        <w:spacing w:after="200" w:line="300"/>
      </w:pPr>
      <w:r>
        <w:rPr>
          <w:rFonts w:ascii="Georgia" w:cs="Georgia" w:eastAsia="Georgia" w:hAnsi="Georgia"/>
          <w:sz w:val="23"/>
          <w:szCs w:val="23"/>
        </w:rPr>
        <w:t>The 1943 verdict was correct. The trials were competently run, the conclusion followed from the evidence, and the missing variable was hard to see at the time: the virus travels on the mouthparts of mosquitoes, and dry coastal scrub has few of them. A reasonable decision-maker reading the Wardang reports would have filed myxomatosis under “tried, failed.” Many did. Only sustained lobbying by Macnamara, who publicly criticized the scientists for giving up, pushed the newly formed CSIRO into one more round of field trials in 1950.</w:t>
      </w:r>
    </w:p>
    <w:p>
      <w:pPr>
        <w:pStyle w:val="Heading1"/>
        <w:spacing w:after="200" w:before="360"/>
      </w:pPr>
      <w:r>
        <w:rPr>
          <w:rFonts w:ascii="Georgia" w:cs="Georgia" w:eastAsia="Georgia" w:hAnsi="Georgia"/>
          <w:b/>
          <w:bCs/>
          <w:color w:val="1a1a1a"/>
          <w:sz w:val="28"/>
          <w:szCs w:val="28"/>
        </w:rPr>
        <w:t xml:space="preserve">The Failure That Rain Turned Into a Conquest</w:t>
      </w:r>
    </w:p>
    <w:p>
      <w:pPr>
        <w:spacing w:after="200" w:line="300"/>
      </w:pPr>
      <w:r>
        <w:rPr>
          <w:rFonts w:ascii="Georgia" w:cs="Georgia" w:eastAsia="Georgia" w:hAnsi="Georgia"/>
          <w:sz w:val="23"/>
          <w:szCs w:val="23"/>
        </w:rPr>
        <w:t>The 1950 trials, at five sites along the Murray River, at first repeated the familiar pattern of local kills and no spread. Francis Ratcliffe, who ran the program, was close to concluding that the skeptics had been right all along. Then heavy rains came in December 1950, mosquito populations exploded in the river valley, and the virus took off. It moved faster than anyone had thought possible, covering hundreds of kilometers in weeks as insects carried it across the Murray-Darling basin. The released strain had a case fatality rate of about 99.8 percent, and within roughly three years Australia’s rabbit population had fallen from around 600 million to an estimated 100 million. Wool and wheat production surged. It remains the most successful biological control of a mammal pest ever achieved.</w:t>
      </w:r>
    </w:p>
    <w:p>
      <w:pPr>
        <w:spacing w:after="240"/>
      </w:pPr>
      <w:r>
        <w:rPr>
          <w:rFonts w:ascii="Georgia" w:cs="Georgia" w:eastAsia="Georgia" w:hAnsi="Georgia"/>
          <w:i/>
          <w:iCs/>
          <w:color w:val="666666"/>
          <w:sz w:val="18"/>
          <w:szCs w:val="18"/>
        </w:rPr>
        <w:t xml:space="preserve">CSIROpedia; Kerr et al., “Evolutionary History and Attenuation of Myxoma Virus on Two Continents,” PLoS Pathogens (2012).</w:t>
      </w:r>
    </w:p>
    <w:p>
      <w:pPr>
        <w:spacing w:after="200" w:line="300"/>
      </w:pPr>
      <w:r>
        <w:rPr>
          <w:rFonts w:ascii="Georgia" w:cs="Georgia" w:eastAsia="Georgia" w:hAnsi="Georgia"/>
          <w:sz w:val="23"/>
          <w:szCs w:val="23"/>
        </w:rPr>
        <w:t>The episode also produced one of the great gestures of science communication. In 1951 an outbreak of Murray Valley encephalitis, a mosquito-borne brain disease in humans, struck the same region where myxomatosis was raging, and the public reasonably suspected that the new rabbit virus was killing people. To settle the question, CSIRO chairman Ian Clunies Ross and virologists Macfarlane Burnet and Frank Fenner injected themselves with myxoma virus. Nothing happened to them, the panic subsided, and the program continued.</w:t>
      </w:r>
    </w:p>
    <w:p>
      <w:pPr>
        <w:spacing w:after="240"/>
      </w:pPr>
      <w:r>
        <w:rPr>
          <w:rFonts w:ascii="Georgia" w:cs="Georgia" w:eastAsia="Georgia" w:hAnsi="Georgia"/>
          <w:i/>
          <w:iCs/>
          <w:color w:val="666666"/>
          <w:sz w:val="18"/>
          <w:szCs w:val="18"/>
        </w:rPr>
        <w:t xml:space="preserve">NSW Environment and Heritage, “Myxomatosis” Blue Plaque record.</w:t>
      </w:r>
    </w:p>
    <w:p>
      <w:pPr>
        <w:pStyle w:val="Heading1"/>
        <w:spacing w:after="200" w:before="360"/>
      </w:pPr>
      <w:r>
        <w:rPr>
          <w:rFonts w:ascii="Georgia" w:cs="Georgia" w:eastAsia="Georgia" w:hAnsi="Georgia"/>
          <w:b/>
          <w:bCs/>
          <w:color w:val="1a1a1a"/>
          <w:sz w:val="28"/>
          <w:szCs w:val="28"/>
        </w:rPr>
        <w:t xml:space="preserve">Evolution Took the Win Back, Roughly on Schedule</w:t>
      </w:r>
    </w:p>
    <w:p>
      <w:pPr>
        <w:spacing w:after="200" w:line="300"/>
      </w:pPr>
      <w:r>
        <w:rPr>
          <w:rFonts w:ascii="Georgia" w:cs="Georgia" w:eastAsia="Georgia" w:hAnsi="Georgia"/>
          <w:sz w:val="23"/>
          <w:szCs w:val="23"/>
        </w:rPr>
        <w:t>Fenner and Ratcliffe then did something unusual. Instead of declaring victory, they spent the next decade measuring how the victory decayed, and what they documented became the founding case study of host-pathogen coevolution. A virus that kills 99.8 percent of its hosts within about two weeks is poorly suited to spreading, because a dead rabbit stops feeding mosquitoes. Milder strains that let rabbits linger for weeks were transmitted more, and within a few years these attenuated strains had largely displaced the lethal original in the field. Selection worked just as hard on the rabbits. In Fenner’s test populations, mortality from a standard virus challenge fell from about 90 percent to roughly 25 percent within about seven years of epidemics. Neither trend was mysterious, and Fenner and Ratcliffe predicted the decline in advance. Rabbit numbers rebounded partway, and Australia has layered new controls on top ever since: European rabbit fleas as an additional vector in the 1960s, and calicivirus in 1995.</w:t>
      </w:r>
    </w:p>
    <w:p>
      <w:pPr>
        <w:spacing w:after="240"/>
      </w:pPr>
      <w:r>
        <w:rPr>
          <w:rFonts w:ascii="Georgia" w:cs="Georgia" w:eastAsia="Georgia" w:hAnsi="Georgia"/>
          <w:i/>
          <w:iCs/>
          <w:color w:val="666666"/>
          <w:sz w:val="18"/>
          <w:szCs w:val="18"/>
        </w:rPr>
        <w:t xml:space="preserve">Fenner &amp; Ratcliffe, Myxomatosis (1965); Kerr et al., PLoS Pathogens (2012); CSIRO, “Biological control of rabbits.”</w:t>
      </w:r>
    </w:p>
    <w:p>
      <w:pPr>
        <w:spacing w:after="200" w:line="300"/>
      </w:pPr>
      <w:r>
        <w:rPr>
          <w:rFonts w:ascii="Georgia" w:cs="Georgia" w:eastAsia="Georgia" w:hAnsi="Georgia"/>
          <w:sz w:val="23"/>
          <w:szCs w:val="23"/>
        </w:rPr>
        <w:t>The virus’s spread in France shows how much the same tool’s value depends on where it lands. In June 1952, a retired French physician named Paul-Félix Armand-Delille inoculated two rabbits with myxoma virus to clear his walled estate at Maillebois, believing the walls would contain it. Within six weeks, 98 percent of the estate’s rabbits were dead. Within four months the virus was 50 kilometers away, and within about two years it had killed roughly 90 percent of France’s wild rabbits. French hunting tallies fell from over 55 million rabbits in 1952–53 to 1.3 million in 1956–57, and the virus reached Britain by 1953. In France the rabbit was food, game, and the fur trade’s raw material, so the same virus that made Australian careers destroyed French livelihoods. Armand-Delille was prosecuted and fined, and grateful farmers separately awarded him a medal. Both responses were sincere.</w:t>
      </w:r>
    </w:p>
    <w:p>
      <w:pPr>
        <w:spacing w:after="240"/>
      </w:pPr>
      <w:r>
        <w:rPr>
          <w:rFonts w:ascii="Georgia" w:cs="Georgia" w:eastAsia="Georgia" w:hAnsi="Georgia"/>
          <w:i/>
          <w:iCs/>
          <w:color w:val="666666"/>
          <w:sz w:val="18"/>
          <w:szCs w:val="18"/>
        </w:rPr>
        <w:t xml:space="preserve">Wikipedia, “Paul-Félix Armand-Delille,” drawing on contemporary French records; Natural History Museum (London), on the European spread.</w:t>
      </w:r>
    </w:p>
    <w:p>
      <w:pPr>
        <w:pStyle w:val="Heading1"/>
        <w:spacing w:after="200" w:before="360"/>
      </w:pPr>
      <w:r>
        <w:rPr>
          <w:rFonts w:ascii="Georgia" w:cs="Georgia" w:eastAsia="Georgia" w:hAnsi="Georgia"/>
          <w:b/>
          <w:bCs/>
          <w:color w:val="1a1a1a"/>
          <w:sz w:val="28"/>
          <w:szCs w:val="28"/>
        </w:rPr>
        <w:t xml:space="preserve">Takeaways</w:t>
      </w:r>
    </w:p>
    <w:p>
      <w:pPr>
        <w:spacing w:after="240" w:line="300"/>
      </w:pPr>
      <w:r>
        <w:rPr>
          <w:rFonts w:ascii="Georgia" w:cs="Georgia" w:eastAsia="Georgia" w:hAnsi="Georgia"/>
          <w:b/>
          <w:bCs/>
          <w:sz w:val="23"/>
          <w:szCs w:val="23"/>
        </w:rPr>
        <w:t>Why this matters:</w:t>
      </w:r>
      <w:r>
        <w:rPr>
          <w:rFonts w:ascii="Georgia" w:cs="Georgia" w:eastAsia="Georgia" w:hAnsi="Georgia"/>
          <w:sz w:val="23"/>
          <w:szCs w:val="23"/>
        </w:rPr>
        <w:t xml:space="preserve"> Against an adapting target, an intervention’s first year is its best, and the decline that follows is the system responding. It does not mean anyone failed. The Australians handled this unusually well. They measured the erosion from the start, predicted it publicly, and treated myxomatosis as one step in a long campaign rather than a permanent fix. The 99.8 percent figure was never the result that counted. What counted was the decade of partial control it bought and the follow-on tools built during that decade.</w:t>
      </w:r>
    </w:p>
    <w:p>
      <w:pPr>
        <w:spacing w:after="240" w:line="300"/>
      </w:pPr>
      <w:r>
        <w:rPr>
          <w:rFonts w:ascii="Georgia" w:cs="Georgia" w:eastAsia="Georgia" w:hAnsi="Georgia"/>
          <w:b/>
          <w:bCs/>
          <w:sz w:val="23"/>
          <w:szCs w:val="23"/>
        </w:rPr>
        <w:t>What this means today:</w:t>
      </w:r>
      <w:r>
        <w:rPr>
          <w:rFonts w:ascii="Georgia" w:cs="Georgia" w:eastAsia="Georgia" w:hAnsi="Georgia"/>
          <w:sz w:val="23"/>
          <w:szCs w:val="23"/>
        </w:rPr>
        <w:t xml:space="preserve"> The same dynamic lies behind antibiotic resistance, herbicide-resistant weeds, fraud and spam filters, and security patches. Every strong selective pressure produces its own countermeasure. The practical step is to plan for erosion at launch by asking what the intervention will accomplish in year one and in year ten, and what you will add when the effect fades. The Wardang trials show the reverse risk. A well-run trial can return a clean negative because one environmental variable, in this case rainfall and mosquitoes, sat outside the test conditions. A negative result applies to the conditions tested and does not settle whether the tool works elsewhere.</w:t>
      </w:r>
    </w:p>
    <w:p>
      <w:pPr>
        <w:spacing w:after="240" w:line="300"/>
      </w:pPr>
      <w:r>
        <w:rPr>
          <w:rFonts w:ascii="Georgia" w:cs="Georgia" w:eastAsia="Georgia" w:hAnsi="Georgia"/>
          <w:b/>
          <w:bCs/>
          <w:sz w:val="23"/>
          <w:szCs w:val="23"/>
        </w:rPr>
        <w:t>Where the lesson runs out:</w:t>
      </w:r>
      <w:r>
        <w:rPr>
          <w:rFonts w:ascii="Georgia" w:cs="Georgia" w:eastAsia="Georgia" w:hAnsi="Georgia"/>
          <w:sz w:val="23"/>
          <w:szCs w:val="23"/>
        </w:rPr>
        <w:t xml:space="preserve"> The decay applies only where the target can adapt faster than you can respond, which means populations with short generations and strong selection. Engineering interventions against static problems (a dam, a bridge, a vaccine against a slow-evolving pathogen) do not erode this way, and treating every fading result as “evolution fighting back” can excuse plain implementation failure. The French episode adds a separate condition. A control tool’s value depends entirely on whether the target is a pest or a resource where it lands, and that is a question about people and economies, not biology.</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2026-08-10T19:08:37.549Z</dcterms:created>
  <dcterms:modified xsi:type="dcterms:W3CDTF">2026-08-10T19:08:37.549Z</dcterms:modified>
</cp:coreProperties>
</file>

<file path=docProps/custom.xml><?xml version="1.0" encoding="utf-8"?>
<Properties xmlns="http://schemas.openxmlformats.org/officeDocument/2006/custom-properties" xmlns:vt="http://schemas.openxmlformats.org/officeDocument/2006/docPropsVTypes"/>
</file>