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F3B57"/>
          <w:sz w:val="40"/>
          <w:szCs w:val="40"/>
        </w:rPr>
        <w:t xml:space="preserve">The King Outlawed a Religion His Own Officials Told Him Was Already Gone</w:t>
      </w:r>
    </w:p>
    <w:p>
      <w:pPr>
        <w:pBdr>
          <w:bottom w:val="single" w:color="1F3B57" w:sz="6" w:space="6"/>
        </w:pBdr>
        <w:spacing w:after="320"/>
      </w:pPr>
      <w:r>
        <w:rPr>
          <w:rFonts w:ascii="Georgia" w:cs="Georgia" w:eastAsia="Georgia" w:hAnsi="Georgia"/>
          <w:i/>
          <w:iCs/>
          <w:color w:val="666666"/>
          <w:sz w:val="22"/>
          <w:szCs w:val="22"/>
        </w:rPr>
        <w:t xml:space="preserve">The Revocation of the Edict of Nantes, France, 1685</w:t>
      </w:r>
    </w:p>
    <w:p>
      <w:pPr>
        <w:spacing w:after="200" w:line="300"/>
        <w:jc w:val="both"/>
      </w:pPr>
      <w:r>
        <w:rPr>
          <w:rFonts w:ascii="Georgia" w:cs="Georgia" w:eastAsia="Georgia" w:hAnsi="Georgia"/>
          <w:sz w:val="22"/>
          <w:szCs w:val="22"/>
        </w:rPr>
        <w:t>In October 1685, Louis XIV revoked the Edict of Nantes, the law that had protected France's Protestant minority for 87 years. The revocation reads today like an obvious blunder, since it drove roughly 150,000 to 200,000 skilled people to France's rivals. From inside Versailles the decision looked very different. For four years the king's own administration had been reporting that Protestantism in France was collapsing, and the men writing those reports were the same men whose careers depended on making it collapse. The episode shows what happens when the officials who supply a state's information are rewarded for reporting success.</w:t>
      </w:r>
    </w:p>
    <w:p>
      <w:pPr>
        <w:pStyle w:val="Heading2"/>
        <w:spacing w:after="200" w:before="360"/>
      </w:pPr>
      <w:r>
        <w:rPr>
          <w:rFonts w:ascii="Georgia" w:cs="Georgia" w:eastAsia="Georgia" w:hAnsi="Georgia"/>
          <w:b/>
          <w:bCs/>
          <w:color w:val="1F3B57"/>
          <w:sz w:val="28"/>
          <w:szCs w:val="28"/>
        </w:rPr>
        <w:t xml:space="preserve">The Law Was Hollowed Out Before It Was Repealed</w:t>
      </w:r>
    </w:p>
    <w:p>
      <w:pPr>
        <w:spacing w:after="200" w:line="300"/>
        <w:jc w:val="both"/>
      </w:pPr>
      <w:r>
        <w:rPr>
          <w:rFonts w:ascii="Georgia" w:cs="Georgia" w:eastAsia="Georgia" w:hAnsi="Georgia"/>
          <w:sz w:val="22"/>
          <w:szCs w:val="22"/>
        </w:rPr>
        <w:t>The Edict of Nantes, issued by Louis XIV's grandfather Henri IV in 1598, ended four decades of religious civil war. It granted France's Calvinist Protestants, the Huguenots, the right to worship in specified places, hold office, and run their own schools. By the 1680s they numbered roughly 800,000 to 900,000 in a kingdom of about 20 million. They were a small minority, concentrated in commerce, textiles, and skilled trades, and no longer any kind of military threat. Their fortified towns had been dismantled by the 1620s.</w:t>
      </w:r>
    </w:p>
    <w:p>
      <w:pPr>
        <w:spacing w:after="260"/>
        <w:ind w:left="360"/>
      </w:pPr>
      <w:r>
        <w:rPr>
          <w:rFonts w:ascii="Georgia" w:cs="Georgia" w:eastAsia="Georgia" w:hAnsi="Georgia"/>
          <w:i/>
          <w:iCs/>
          <w:color w:val="666666"/>
          <w:sz w:val="18"/>
          <w:szCs w:val="18"/>
        </w:rPr>
        <w:t xml:space="preserve">Source: </w:t>
      </w:r>
      <w:hyperlink w:history="1" r:id="rIdlnxpdgzeltkgr9vbb0zrs">
        <w:r>
          <w:rPr>
            <w:rFonts w:ascii="Georgia" w:cs="Georgia" w:eastAsia="Georgia" w:hAnsi="Georgia"/>
            <w:i/>
            <w:iCs/>
            <w:color w:val="3B6EA5"/>
            <w:sz w:val="18"/>
            <w:szCs w:val="18"/>
            <w:u w:val="single"/>
          </w:rPr>
          <w:t xml:space="preserve">Confessional Migration of the Reformed: The Huguenots — EGO (European History Online)</w:t>
        </w:r>
      </w:hyperlink>
    </w:p>
    <w:p>
      <w:pPr>
        <w:spacing w:after="200" w:line="300"/>
        <w:jc w:val="both"/>
      </w:pPr>
      <w:r>
        <w:rPr>
          <w:rFonts w:ascii="Georgia" w:cs="Georgia" w:eastAsia="Georgia" w:hAnsi="Georgia"/>
          <w:sz w:val="22"/>
          <w:szCs w:val="22"/>
        </w:rPr>
        <w:t>Louis XIV wanted religious uniformity (“one king, one law, one faith” was the era's formula), and from the 1660s his government pursued it first through lawyers rather than soldiers. Royal courts read the Edict as narrowly as possible. Any Protestant church that could not document its right to exist was demolished, Protestants were squeezed out of professions, and a fund was set up to pay converts. This legal campaign trained a generation of officials to treat the shrinking of Protestantism as a metric the king cared about, which mattered for what came later.</w:t>
      </w:r>
    </w:p>
    <w:p>
      <w:pPr>
        <w:pStyle w:val="Heading2"/>
        <w:spacing w:after="200" w:before="360"/>
      </w:pPr>
      <w:r>
        <w:rPr>
          <w:rFonts w:ascii="Georgia" w:cs="Georgia" w:eastAsia="Georgia" w:hAnsi="Georgia"/>
          <w:b/>
          <w:bCs/>
          <w:color w:val="1F3B57"/>
          <w:sz w:val="28"/>
          <w:szCs w:val="28"/>
        </w:rPr>
        <w:t>The Dragonnades and the Conversion Reports</w:t>
      </w:r>
    </w:p>
    <w:p>
      <w:pPr>
        <w:spacing w:after="200" w:line="300"/>
        <w:jc w:val="both"/>
      </w:pPr>
      <w:r>
        <w:rPr>
          <w:rFonts w:ascii="Georgia" w:cs="Georgia" w:eastAsia="Georgia" w:hAnsi="Georgia"/>
          <w:sz w:val="22"/>
          <w:szCs w:val="22"/>
        </w:rPr>
        <w:t>The decisive escalation came in 1681, when the intendant of Poitou, René de Marillac, began billeting dragoons (cavalry soldiers) in Protestant households, with the understanding that the troops could make themselves as unwelcome as they liked until the family converted. The method was brutal and, on paper, effective. Marillac reported 38,000 conversions in Poitou that year. Contemporary records show that these “dragonnades” were suspended after complaints, then revived on a much larger scale after 1683. That year Jean-Baptiste Colbert died. The finance minister had restrained persecution because he valued Protestant merchants and manufacturers, and after his death the harder line of the war minister Louvois prevailed.</w:t>
      </w:r>
    </w:p>
    <w:p>
      <w:pPr>
        <w:spacing w:after="260"/>
        <w:ind w:left="360"/>
      </w:pPr>
      <w:r>
        <w:rPr>
          <w:rFonts w:ascii="Georgia" w:cs="Georgia" w:eastAsia="Georgia" w:hAnsi="Georgia"/>
          <w:i/>
          <w:iCs/>
          <w:color w:val="666666"/>
          <w:sz w:val="18"/>
          <w:szCs w:val="18"/>
        </w:rPr>
        <w:t xml:space="preserve">Source: </w:t>
      </w:r>
      <w:hyperlink w:history="1" r:id="rId0uoyxdd6fckepqxc2mafh">
        <w:r>
          <w:rPr>
            <w:rFonts w:ascii="Georgia" w:cs="Georgia" w:eastAsia="Georgia" w:hAnsi="Georgia"/>
            <w:i/>
            <w:iCs/>
            <w:color w:val="3B6EA5"/>
            <w:sz w:val="18"/>
            <w:szCs w:val="18"/>
            <w:u w:val="single"/>
          </w:rPr>
          <w:t xml:space="preserve">The “Dragonnades” (1681–1685) — Musée protestant</w:t>
        </w:r>
      </w:hyperlink>
    </w:p>
    <w:p>
      <w:pPr>
        <w:spacing w:after="200" w:line="300"/>
        <w:jc w:val="both"/>
      </w:pPr>
      <w:r>
        <w:rPr>
          <w:rFonts w:ascii="Georgia" w:cs="Georgia" w:eastAsia="Georgia" w:hAnsi="Georgia"/>
          <w:sz w:val="22"/>
          <w:szCs w:val="22"/>
        </w:rPr>
        <w:t>In 1685 the campaign ran at full speed. From May to July, troops massed near the Spanish border were turned on the Protestants of Béarn, and the intendant there, Nicolas de Foucault, reported conversions by the tens of thousands. The apparent success led the court to extend the dragonnades province by province through the summer and autumn. Each intendant's dispatches announced whole towns abjuring within days. Intendants were seeking favor, Louvois was consolidating his position after Colbert's death, and bishops were certifying the sincerity of abjurations. Everyone in the chain had strong reasons to report the numbers going up and weak reasons to ask what a conversion was actually worth when soldiers living in the house had extracted it.</w:t>
      </w:r>
    </w:p>
    <w:p>
      <w:pPr>
        <w:spacing w:after="200" w:line="300"/>
        <w:jc w:val="both"/>
      </w:pPr>
      <w:r>
        <w:rPr>
          <w:rFonts w:ascii="Georgia" w:cs="Georgia" w:eastAsia="Georgia" w:hAnsi="Georgia"/>
          <w:sz w:val="22"/>
          <w:szCs w:val="22"/>
        </w:rPr>
        <w:t>By the autumn of 1685, the picture reaching the king was that French Protestantism had effectively ceased to exist. The decision rested on what Louis was told: that very few Huguenots were left, and that the Edict of Nantes now protected almost nobody. The revocation edict itself, signed at Fontainebleau on October 18, 1685, states this premise in its own text. Since “the better and greater part” of Protestants had converted, the old edict had become unnecessary. Revoking it looked less like a policy change than like removing a law that no longer had anyone to apply to.</w:t>
      </w:r>
    </w:p>
    <w:p>
      <w:pPr>
        <w:pStyle w:val="Heading2"/>
        <w:spacing w:after="200" w:before="360"/>
      </w:pPr>
      <w:r>
        <w:rPr>
          <w:rFonts w:ascii="Georgia" w:cs="Georgia" w:eastAsia="Georgia" w:hAnsi="Georgia"/>
          <w:b/>
          <w:bCs/>
          <w:color w:val="1F3B57"/>
          <w:sz w:val="28"/>
          <w:szCs w:val="28"/>
        </w:rPr>
        <w:t>How the Revocation Looked From the Throne</w:t>
      </w:r>
    </w:p>
    <w:p>
      <w:pPr>
        <w:spacing w:after="200" w:line="300"/>
        <w:jc w:val="both"/>
      </w:pPr>
      <w:r>
        <w:rPr>
          <w:rFonts w:ascii="Georgia" w:cs="Georgia" w:eastAsia="Georgia" w:hAnsi="Georgia"/>
          <w:sz w:val="22"/>
          <w:szCs w:val="22"/>
        </w:rPr>
        <w:t>Seen from the throne, the final step appeared close to costless. The conversions were already reported, and the edict merely made them official. Pastors were ordered to convert or leave within fifteen days. Ordinary Protestants were explicitly forbidden to emigrate, on pain of the galleys for men and imprisonment for women, so the court assumed the skilled population would stay put and be absorbed. The political moment was also ideal. In 1685 Louis was at the peak of his power and prestige, the Catholic clergy had pressed for exactly this for decades, and the revocation was greeted with nearly unanimous applause in France, with Bossuet, Madame de Sévigné, and much of educated opinion celebrating it. Almost no one at court argued the other side, in part because the man who would have, Colbert, was two years dead.</w:t>
      </w:r>
    </w:p>
    <w:p>
      <w:pPr>
        <w:spacing w:after="200" w:line="300"/>
        <w:jc w:val="both"/>
      </w:pPr>
      <w:r>
        <w:rPr>
          <w:rFonts w:ascii="Georgia" w:cs="Georgia" w:eastAsia="Georgia" w:hAnsi="Georgia"/>
          <w:sz w:val="22"/>
          <w:szCs w:val="22"/>
        </w:rPr>
        <w:t>The persecution itself was a choice, and a cruel one, so the king was no innocent recipient of bad data. The specific decision to revoke, however, rested on a factual picture his own apparatus had manufactured. That decision made the policy permanent and total in October 1685 instead of continuing the existing pressure. The conversions were real as entries in reports and largely fictional as changes in belief. The state had built a reporting system that could return only one answer, then treated that answer as information.</w:t>
      </w:r>
    </w:p>
    <w:p>
      <w:pPr>
        <w:pStyle w:val="Heading2"/>
        <w:spacing w:after="200" w:before="360"/>
      </w:pPr>
      <w:r>
        <w:rPr>
          <w:rFonts w:ascii="Georgia" w:cs="Georgia" w:eastAsia="Georgia" w:hAnsi="Georgia"/>
          <w:b/>
          <w:bCs/>
          <w:color w:val="1F3B57"/>
          <w:sz w:val="28"/>
          <w:szCs w:val="28"/>
        </w:rPr>
        <w:t xml:space="preserve">The Border Was Closed, and 200,000 People Crossed It Anyway</w:t>
      </w:r>
    </w:p>
    <w:p>
      <w:pPr>
        <w:spacing w:after="200" w:line="300"/>
        <w:jc w:val="both"/>
      </w:pPr>
      <w:r>
        <w:rPr>
          <w:rFonts w:ascii="Georgia" w:cs="Georgia" w:eastAsia="Georgia" w:hAnsi="Georgia"/>
          <w:sz w:val="22"/>
          <w:szCs w:val="22"/>
        </w:rPr>
        <w:t>The emigration ban failed. Over the following fifteen years, roughly 150,000 to 200,000 Huguenots, about a fifth of the Protestant population, left France despite the galleys. Most went to the Dutch Republic, England, Brandenburg-Prussia, and Switzerland, with smaller streams to Ireland, America, and the Cape of Good Hope. The receiving states competed for them. Within days of learning of the revocation, the Elector of Brandenburg issued the Edict of Potsdam offering privileges to Huguenot settlers. The emigrants took their skills and connections with them: silk weaving to London's Spitalfields, watchmaking to Geneva, and textile skills and commercial networks to Berlin and Amsterdam.</w:t>
      </w:r>
    </w:p>
    <w:p>
      <w:pPr>
        <w:spacing w:after="260"/>
        <w:ind w:left="360"/>
      </w:pPr>
      <w:r>
        <w:rPr>
          <w:rFonts w:ascii="Georgia" w:cs="Georgia" w:eastAsia="Georgia" w:hAnsi="Georgia"/>
          <w:i/>
          <w:iCs/>
          <w:color w:val="666666"/>
          <w:sz w:val="18"/>
          <w:szCs w:val="18"/>
        </w:rPr>
        <w:t xml:space="preserve">Source: </w:t>
      </w:r>
      <w:hyperlink w:history="1" r:id="rIduh8oldjf5aypegulrkd9t">
        <w:r>
          <w:rPr>
            <w:rFonts w:ascii="Georgia" w:cs="Georgia" w:eastAsia="Georgia" w:hAnsi="Georgia"/>
            <w:i/>
            <w:iCs/>
            <w:color w:val="3B6EA5"/>
            <w:sz w:val="18"/>
            <w:szCs w:val="18"/>
            <w:u w:val="single"/>
          </w:rPr>
          <w:t xml:space="preserve">Emigration — Musée protestant</w:t>
        </w:r>
      </w:hyperlink>
    </w:p>
    <w:p>
      <w:pPr>
        <w:spacing w:after="200" w:line="300"/>
        <w:jc w:val="both"/>
      </w:pPr>
      <w:r>
        <w:rPr>
          <w:rFonts w:ascii="Georgia" w:cs="Georgia" w:eastAsia="Georgia" w:hAnsi="Georgia"/>
          <w:sz w:val="22"/>
          <w:szCs w:val="22"/>
        </w:rPr>
        <w:t>The most striking assessment came from inside the regime. In 1689 Vauban, Louis's own chief military engineer and the most respected technical mind in royal service, wrote a memorandum urging the king to recall the Huguenots. He tallied the losses as he saw them: 80,000 to 100,000 emigrants so far, 30 million livres in cash carried out, 8,000 to 9,000 sailors, 10,000 to 12,000 trained soldiers, and 500 to 600 officers now serving France's enemies. The king ignored it. Meanwhile the “new converts” who stayed largely did not stay converted. Clandestine Protestant worship persisted for a century, and in 1702 the Cévennes rose in the Camisard revolt, tying down royal troops in the middle of a European war.</w:t>
      </w:r>
    </w:p>
    <w:p>
      <w:pPr>
        <w:spacing w:after="260"/>
        <w:ind w:left="360"/>
      </w:pPr>
      <w:r>
        <w:rPr>
          <w:rFonts w:ascii="Georgia" w:cs="Georgia" w:eastAsia="Georgia" w:hAnsi="Georgia"/>
          <w:i/>
          <w:iCs/>
          <w:color w:val="666666"/>
          <w:sz w:val="18"/>
          <w:szCs w:val="18"/>
        </w:rPr>
        <w:t xml:space="preserve">Source: </w:t>
      </w:r>
      <w:hyperlink w:history="1" r:id="rIdgxlgtzg5tyjfijcgk1bca">
        <w:r>
          <w:rPr>
            <w:rFonts w:ascii="Georgia" w:cs="Georgia" w:eastAsia="Georgia" w:hAnsi="Georgia"/>
            <w:i/>
            <w:iCs/>
            <w:color w:val="3B6EA5"/>
            <w:sz w:val="18"/>
            <w:szCs w:val="18"/>
            <w:u w:val="single"/>
          </w:rPr>
          <w:t xml:space="preserve">Mémoire pour le rappel des huguenots, Vauban (1689) — Musée protestant</w:t>
        </w:r>
      </w:hyperlink>
    </w:p>
    <w:p>
      <w:pPr>
        <w:spacing w:after="200" w:line="300"/>
        <w:jc w:val="both"/>
      </w:pPr>
      <w:r>
        <w:rPr>
          <w:rFonts w:ascii="Georgia" w:cs="Georgia" w:eastAsia="Georgia" w:hAnsi="Georgia"/>
          <w:sz w:val="22"/>
          <w:szCs w:val="22"/>
        </w:rPr>
        <w:t xml:space="preserve">The popular version needs one correction. The story that the revocation wrecked the French economy is older than the evidence for it. The classic modern study, Warren Scoville's </w:t>
      </w:r>
      <w:r>
        <w:rPr>
          <w:rFonts w:ascii="Georgia" w:cs="Georgia" w:eastAsia="Georgia" w:hAnsi="Georgia"/>
          <w:i/>
          <w:iCs/>
          <w:sz w:val="22"/>
          <w:szCs w:val="22"/>
        </w:rPr>
        <w:t>The Persecution of Huguenots and French Economic Development</w:t>
      </w:r>
      <w:r>
        <w:rPr>
          <w:rFonts w:ascii="Georgia" w:cs="Georgia" w:eastAsia="Georgia" w:hAnsi="Georgia"/>
          <w:sz w:val="22"/>
          <w:szCs w:val="22"/>
        </w:rPr>
        <w:t xml:space="preserve"> (1960), concluded that the damage to France, while real, was smaller and more regionally concentrated than tradition claimed. France remained Europe's largest economy. Modern research has established more firmly that the gains to the receiving states were large and durable. Erik Hornung's 2014 study in the </w:t>
      </w:r>
      <w:r>
        <w:rPr>
          <w:rFonts w:ascii="Georgia" w:cs="Georgia" w:eastAsia="Georgia" w:hAnsi="Georgia"/>
          <w:i/>
          <w:iCs/>
          <w:sz w:val="22"/>
          <w:szCs w:val="22"/>
        </w:rPr>
        <w:t>American Economic Review</w:t>
      </w:r>
      <w:r>
        <w:rPr>
          <w:rFonts w:ascii="Georgia" w:cs="Georgia" w:eastAsia="Georgia" w:hAnsi="Georgia"/>
          <w:sz w:val="22"/>
          <w:szCs w:val="22"/>
        </w:rPr>
        <w:t>, matching Huguenot settlement lists from 1700 to Prussian firm data from 1802, found that textile manufactories in towns where Huguenots settled were substantially more productive a full century later. France's loss was moderate, while its rivals' gains persisted for generations.</w:t>
      </w:r>
    </w:p>
    <w:p>
      <w:pPr>
        <w:spacing w:after="260"/>
        <w:ind w:left="360"/>
      </w:pPr>
      <w:r>
        <w:rPr>
          <w:rFonts w:ascii="Georgia" w:cs="Georgia" w:eastAsia="Georgia" w:hAnsi="Georgia"/>
          <w:i/>
          <w:iCs/>
          <w:color w:val="666666"/>
          <w:sz w:val="18"/>
          <w:szCs w:val="18"/>
        </w:rPr>
        <w:t xml:space="preserve">Source: </w:t>
      </w:r>
      <w:hyperlink w:history="1" r:id="rIdwbclqnssf1ay65j9befuu">
        <w:r>
          <w:rPr>
            <w:rFonts w:ascii="Georgia" w:cs="Georgia" w:eastAsia="Georgia" w:hAnsi="Georgia"/>
            <w:i/>
            <w:iCs/>
            <w:color w:val="3B6EA5"/>
            <w:sz w:val="18"/>
            <w:szCs w:val="18"/>
            <w:u w:val="single"/>
          </w:rPr>
          <w:t xml:space="preserve">Immigration and the Diffusion of Technology: The Huguenot Diaspora in Prussia — American Economic Review (2014)</w:t>
        </w:r>
      </w:hyperlink>
    </w:p>
    <w:p>
      <w:pPr>
        <w:pStyle w:val="Heading2"/>
        <w:spacing w:after="200" w:before="360"/>
      </w:pPr>
      <w:r>
        <w:rPr>
          <w:rFonts w:ascii="Georgia" w:cs="Georgia" w:eastAsia="Georgia" w:hAnsi="Georgia"/>
          <w:b/>
          <w:bCs/>
          <w:color w:val="1F3B57"/>
          <w:sz w:val="28"/>
          <w:szCs w:val="28"/>
        </w:rPr>
        <w:t xml:space="preserve">Takeaways</w:t>
      </w:r>
    </w:p>
    <w:p>
      <w:pPr>
        <w:spacing w:after="200" w:line="300"/>
        <w:jc w:val="both"/>
      </w:pPr>
      <w:r>
        <w:rPr>
          <w:rFonts w:ascii="Georgia" w:cs="Georgia" w:eastAsia="Georgia" w:hAnsi="Georgia"/>
          <w:b/>
          <w:bCs/>
          <w:sz w:val="22"/>
          <w:szCs w:val="22"/>
        </w:rPr>
        <w:t>Why this matters:</w:t>
      </w:r>
      <w:r>
        <w:rPr>
          <w:rFonts w:ascii="Georgia" w:cs="Georgia" w:eastAsia="Georgia" w:hAnsi="Georgia"/>
          <w:sz w:val="22"/>
          <w:szCs w:val="22"/>
        </w:rPr>
        <w:t xml:space="preserve"> The revocation was a case of a leader believing his experts rather than ignoring them, and their reports came out of an incentive system he had built. Officials rewarded for a number will produce the number, and the conversions of 1685 were exactly as real as the reporting chain required them to be. The decision failed at the input stage, before any judgment was exercised. Any organization that measures its subordinates by the same metric it uses to make strategy is set up the way Louis's government was.</w:t>
      </w:r>
    </w:p>
    <w:p>
      <w:pPr>
        <w:spacing w:after="200" w:line="300"/>
        <w:jc w:val="both"/>
      </w:pPr>
      <w:r>
        <w:rPr>
          <w:rFonts w:ascii="Georgia" w:cs="Georgia" w:eastAsia="Georgia" w:hAnsi="Georgia"/>
          <w:b/>
          <w:bCs/>
          <w:sz w:val="22"/>
          <w:szCs w:val="22"/>
        </w:rPr>
        <w:t>What this means today:</w:t>
      </w:r>
      <w:r>
        <w:rPr>
          <w:rFonts w:ascii="Georgia" w:cs="Georgia" w:eastAsia="Georgia" w:hAnsi="Georgia"/>
          <w:sz w:val="22"/>
          <w:szCs w:val="22"/>
        </w:rPr>
        <w:t xml:space="preserve"> The pattern appears wherever pressure produces compliance and compliance gets recorded as conviction. Sales pipelines are inflated to meet targets that then drive hiring plans, authoritarian states act on approval figures their own repression manufactured, and companies believe engagement metrics their own teams are paid to maximize. The warning signs are the same as in 1685: results that arrive suspiciously fast, in suspiciously round numbers, from everyone at once. The episode also bears on mobility. The ban on leaving failed because skills are the hardest asset to confiscate, and policies that assume talent will stay put because leaving is costly or forbidden have a long record of being wrong.</w:t>
      </w:r>
    </w:p>
    <w:p>
      <w:pPr>
        <w:spacing w:after="200" w:line="300"/>
        <w:jc w:val="both"/>
      </w:pPr>
      <w:r>
        <w:rPr>
          <w:rFonts w:ascii="Georgia" w:cs="Georgia" w:eastAsia="Georgia" w:hAnsi="Georgia"/>
          <w:b/>
          <w:bCs/>
          <w:sz w:val="22"/>
          <w:szCs w:val="22"/>
        </w:rPr>
        <w:t>Where the lesson runs out:</w:t>
      </w:r>
      <w:r>
        <w:rPr>
          <w:rFonts w:ascii="Georgia" w:cs="Georgia" w:eastAsia="Georgia" w:hAnsi="Georgia"/>
          <w:sz w:val="22"/>
          <w:szCs w:val="22"/>
        </w:rPr>
        <w:t xml:space="preserve"> The episode concerns corrupted reporting. It does not show that coerced compliance always fails, and plenty of forced conversions and forced assimilations in history did stick over generations. What set 1685 apart was the combination of a fiction reported as fact, an irreversible decision built on that fiction, and neighboring states actively bidding for the people it concerned. Without eager competitors next door, the same bad information would produce a quieter, slower failure rather than a visible transfer of skills and people to rival states.</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nxpdgzeltkgr9vbb0zrs" Type="http://schemas.openxmlformats.org/officeDocument/2006/relationships/hyperlink" Target="https://www.ieg-ego.eu/en/threads/europe-on-the-road/confessional-migration/ute-lotz-heumann-confessional-migration-of-the-reformed-the-huguenots" TargetMode="External"/><Relationship Id="rId0uoyxdd6fckepqxc2mafh" Type="http://schemas.openxmlformats.org/officeDocument/2006/relationships/hyperlink" Target="https://museeprotestant.org/en/notice/the-dragonnades-1681-1685/" TargetMode="External"/><Relationship Id="rIduh8oldjf5aypegulrkd9t" Type="http://schemas.openxmlformats.org/officeDocument/2006/relationships/hyperlink" Target="https://museeprotestant.org/en/notice/lemigration/" TargetMode="External"/><Relationship Id="rIdgxlgtzg5tyjfijcgk1bca" Type="http://schemas.openxmlformats.org/officeDocument/2006/relationships/hyperlink" Target="https://museeprotestant.org/wp-content/uploads/2014/01/M%C3%A9moire-pour-le-rappel-des-huguenots.pdf" TargetMode="External"/><Relationship Id="rIdwbclqnssf1ay65j9befuu" Type="http://schemas.openxmlformats.org/officeDocument/2006/relationships/hyperlink" Target="https://www.aeaweb.org/articles?id=10.1257%2Faer.104.1.84"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2026-08-20T19:10:52.297Z</dcterms:created>
  <dcterms:modified xsi:type="dcterms:W3CDTF">2026-08-20T19:10:52.297Z</dcterms:modified>
</cp:coreProperties>
</file>

<file path=docProps/custom.xml><?xml version="1.0" encoding="utf-8"?>
<Properties xmlns="http://schemas.openxmlformats.org/officeDocument/2006/custom-properties" xmlns:vt="http://schemas.openxmlformats.org/officeDocument/2006/docPropsVTypes"/>
</file>