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34"/>
          <w:szCs w:val="34"/>
        </w:rPr>
        <w:t xml:space="preserve">The Cheaper the Ivory Got, the Harder They Had to Hunt</w:t>
      </w:r>
    </w:p>
    <w:p>
      <w:pPr>
        <w:spacing w:after="300"/>
      </w:pPr>
      <w:r>
        <w:rPr>
          <w:color w:val="666666"/>
          <w:sz w:val="20"/>
          <w:szCs w:val="20"/>
        </w:rPr>
        <w:t xml:space="preserve">Norse Greenland, c. 985–1450</w:t>
      </w:r>
    </w:p>
    <w:p>
      <w:pPr>
        <w:spacing w:after="180" w:line="300"/>
        <w:jc w:val="both"/>
      </w:pPr>
      <w:r>
        <w:rPr>
          <w:sz w:val="22"/>
          <w:szCs w:val="22"/>
        </w:rPr>
        <w:t>For roughly four and a half centuries, a few thousand Norse farmers lived on the southwest coast of Greenland. They built stone churches and paid tithes to Rome, and sometime in the fifteenth century they were gone. The version most people know is that they stubbornly tried to farm cattle in the Arctic and refused to learn from the Inuit. Two decades of archaeology has largely dismantled that account, and the picture that replaced it is more useful. The Greenlanders adapted almost everything they could and were undone by the one thing they could not.</w:t>
      </w:r>
    </w:p>
    <w:p>
      <w:pPr>
        <w:pStyle w:val="Heading2"/>
        <w:spacing w:after="140" w:before="340"/>
      </w:pPr>
      <w:r>
        <w:t xml:space="preserve">A farming colony financed by a luxury good</w:t>
      </w:r>
    </w:p>
    <w:p>
      <w:pPr>
        <w:spacing w:after="180" w:line="300"/>
        <w:jc w:val="both"/>
      </w:pPr>
      <w:r>
        <w:rPr>
          <w:sz w:val="22"/>
          <w:szCs w:val="22"/>
        </w:rPr>
        <w:t>Erik the Red's people arrived around 985 and settled two clusters of fjord farms, called the Eastern and Western Settlements (confusingly, since both sit on the west coast). Niels Lynnerup's reconstruction from cemetery data puts the peak at no more than about 2,000 people alive at any one time, well below older estimates built from counting farm ruins. The settlers kept sheep, goats, and some cattle, and cut hay through a short summer to carry the animals through winter.</w:t>
      </w:r>
    </w:p>
    <w:p>
      <w:pPr>
        <w:spacing w:after="180" w:line="300"/>
        <w:jc w:val="both"/>
      </w:pPr>
      <w:r>
        <w:rPr>
          <w:sz w:val="22"/>
          <w:szCs w:val="22"/>
        </w:rPr>
        <w:t>Greenland has no iron ore or building timber. Every scythe blade, boat rivet, nail, and barrel hoop arrived by ship from Norway and had to be paid for with something valuable enough per kilogram to justify the freight. The Greenlanders paid with walrus ivory.</w:t>
      </w:r>
    </w:p>
    <w:p>
      <w:pPr>
        <w:spacing w:after="180" w:line="300"/>
        <w:jc w:val="both"/>
      </w:pPr>
      <w:r>
        <w:rPr>
          <w:sz w:val="22"/>
          <w:szCs w:val="22"/>
        </w:rPr>
        <w:t>How completely they dominated that market was established only recently. In 2018 a team led by Bastiaan Star and James Barrett sequenced DNA from walrus rostra, the snout-and-skull sections that tusks travelled in, which were broken up and discarded in the ivory workshops of Dublin, Bergen, Trondheim and elsewhere. Atlantic walrus divide into two genetic lineages, and the western one occurs only in the waters off western Greenland and Arctic Canada. Of twelve rostra dated between the 1120s and about 1400, ten were western, against only one of seven older specimens. For something like 250 years, Norse Greenland held what the authors call a near monopoly on Europe's walrus ivory.</w:t>
      </w:r>
    </w:p>
    <w:p>
      <w:pPr>
        <w:spacing w:after="220" w:line="260"/>
      </w:pPr>
      <w:r>
        <w:rPr>
          <w:i/>
          <w:iCs/>
          <w:color w:val="666666"/>
          <w:sz w:val="17"/>
          <w:szCs w:val="17"/>
        </w:rPr>
        <w:t xml:space="preserve">Star, Barrett et al., “Ancient DNA reveals the chronology of walrus ivory trade from Norse Greenland,” Proceedings of the Royal Society B 285 (2018), 20180978.</w:t>
      </w:r>
    </w:p>
    <w:p>
      <w:pPr>
        <w:spacing w:after="180" w:line="300"/>
        <w:jc w:val="both"/>
      </w:pPr>
      <w:r>
        <w:rPr>
          <w:sz w:val="22"/>
          <w:szCs w:val="22"/>
        </w:rPr>
        <w:t>The trade paid well. Christian Keller's analysis of surviving tithe records found that a single 802-kilogram consignment of Greenland tusks recorded in 1327 was worth roughly the equivalent of 780 cows, or 60 tonnes of dried fish. On the proceeds, a colony of two thousand people at 61 degrees north supported its own bishop and built him a cathedral.</w:t>
      </w:r>
    </w:p>
    <w:p>
      <w:pPr>
        <w:spacing w:after="220" w:line="260"/>
      </w:pPr>
      <w:r>
        <w:rPr>
          <w:i/>
          <w:iCs/>
          <w:color w:val="666666"/>
          <w:sz w:val="17"/>
          <w:szCs w:val="17"/>
        </w:rPr>
        <w:t xml:space="preserve">Keller, “Furs, Fish, and Ivory: Medieval Norsemen at the Arctic Fringe,” Journal of the North Atlantic 3 (2010).</w:t>
      </w:r>
    </w:p>
    <w:p>
      <w:pPr>
        <w:pStyle w:val="Heading2"/>
        <w:spacing w:after="140" w:before="340"/>
      </w:pPr>
      <w:r>
        <w:t xml:space="preserve">The choice every summer was hay or ivory</w:t>
      </w:r>
    </w:p>
    <w:p>
      <w:pPr>
        <w:spacing w:after="180" w:line="300"/>
        <w:jc w:val="both"/>
      </w:pPr>
      <w:r>
        <w:rPr>
          <w:sz w:val="22"/>
          <w:szCs w:val="22"/>
        </w:rPr>
        <w:t>Walrus did not live near the settlements. The hunting grounds the Norse called the Norðrsetur lay around Disko Bay, roughly a thousand kilometres north along a coast that is icebound most of the year. The voyage was made in the same brief summer weeks when hay had to be cut, so each year a farm's fittest men either secured next winter's fodder or went north for next year's iron. Archaeologists have long noted the bind. Labour spent on the hunt was labour taken from the margin of subsistence.</w:t>
      </w:r>
    </w:p>
    <w:p>
      <w:pPr>
        <w:spacing w:after="180" w:line="300"/>
        <w:jc w:val="both"/>
      </w:pPr>
      <w:r>
        <w:rPr>
          <w:sz w:val="22"/>
          <w:szCs w:val="22"/>
        </w:rPr>
        <w:t>When the returns began to fall, the Greenlanders went further north instead of pulling back. Barrett's team examined 67 rostra from sites across Europe dating from the eleventh to the fifteenth century, using ancient DNA, stable isotopes, and tusk-socket size. The later material comes from smaller animals, more often female, carrying a genetic signature most common far north in Baffin Bay. That is the textbook pattern of serial depletion, in which hunters travel farther as nearby herds thin and take whatever is left.</w:t>
      </w:r>
    </w:p>
    <w:p>
      <w:pPr>
        <w:spacing w:after="220" w:line="260"/>
      </w:pPr>
      <w:r>
        <w:rPr>
          <w:i/>
          <w:iCs/>
          <w:color w:val="666666"/>
          <w:sz w:val="17"/>
          <w:szCs w:val="17"/>
        </w:rPr>
        <w:t xml:space="preserve">Barrett et al., “Ecological globalisation, serial depletion and the medieval trade of walrus rostra,” Quaternary Science Reviews (2020).</w:t>
      </w:r>
    </w:p>
    <w:p>
      <w:pPr>
        <w:spacing w:after="180" w:line="300"/>
        <w:jc w:val="both"/>
      </w:pPr>
      <w:r>
        <w:rPr>
          <w:sz w:val="22"/>
          <w:szCs w:val="22"/>
        </w:rPr>
        <w:t>They pushed further because of arithmetic that anyone dependent on a single export will recognise. Greenland needed a fixed basket of imports: iron, timber, church goods. When the price per tusk falls, the number of tusks needed to buy that basket rises. In the short run, a falling price correctly tells a monoculture producer to produce more.</w:t>
      </w:r>
    </w:p>
    <w:p>
      <w:pPr>
        <w:pStyle w:val="Heading2"/>
        <w:spacing w:after="140" w:before="340"/>
      </w:pPr>
      <w:r>
        <w:t xml:space="preserve">Nobody in Greenland could see why the price was falling</w:t>
      </w:r>
    </w:p>
    <w:p>
      <w:pPr>
        <w:spacing w:after="180" w:line="300"/>
        <w:jc w:val="both"/>
      </w:pPr>
      <w:r>
        <w:rPr>
          <w:sz w:val="22"/>
          <w:szCs w:val="22"/>
        </w:rPr>
        <w:t>The cause lay several thousand kilometres away, out of sight of any Greenlandic fjord. Sarah Guérin's work on the medieval ivory supply shows that from the mid-thirteenth century, shifting trade routes across the Sahara and through the Strait of Gibraltar brought African elephant tusks back into northern Europe in quantity. Gothic taste moved with the supply, and the even, homogeneous finish of elephant ivory came to be preferred over the marbled core of a walrus tusk. Greenland's product was being undercut and was also going out of fashion.</w:t>
      </w:r>
    </w:p>
    <w:p>
      <w:pPr>
        <w:spacing w:after="220" w:line="260"/>
      </w:pPr>
      <w:r>
        <w:rPr>
          <w:i/>
          <w:iCs/>
          <w:color w:val="666666"/>
          <w:sz w:val="17"/>
          <w:szCs w:val="17"/>
        </w:rPr>
        <w:t xml:space="preserve">Guérin, “Avorio d'ogni ragione: the supply of elephant ivory to northern Europe in the Gothic era,” Journal of Medieval History 36 (2010).</w:t>
      </w:r>
    </w:p>
    <w:p>
      <w:pPr>
        <w:spacing w:after="180" w:line="300"/>
        <w:jc w:val="both"/>
      </w:pPr>
      <w:r>
        <w:rPr>
          <w:sz w:val="22"/>
          <w:szCs w:val="22"/>
        </w:rPr>
        <w:t>The Greenlanders received perhaps one or two ships a year. What they could observe was local, and it looked like a hunting problem: fewer animals, smaller animals, longer and more dangerous voyages. Norse boat rivets have turned up in an Inuit site on an islet off Ellesmere Island, far beyond Disko Bay, and Barrett reads them as a plausible trace of a hunting trip that never came back. To see that the European market for their only export was being structurally replaced, they would have needed information they had no way to obtain.</w:t>
      </w:r>
    </w:p>
    <w:p>
      <w:pPr>
        <w:spacing w:after="180" w:line="300"/>
        <w:jc w:val="both"/>
      </w:pPr>
      <w:r>
        <w:rPr>
          <w:sz w:val="22"/>
          <w:szCs w:val="22"/>
        </w:rPr>
        <w:t>One dated document reads like a warning today, though it needs careful handling. In 1282 the Pope asked that Greenland's tithes be remitted in silver or gold rather than in tusk. The Curia issued instructions about the form of payment across Christendom for reasons of its own convenience, and there is no evidence that anyone in Greenland treated this one as a statement about demand. Only hindsight makes it a warning.</w:t>
      </w:r>
    </w:p>
    <w:p>
      <w:pPr>
        <w:pStyle w:val="Heading2"/>
        <w:spacing w:after="140" w:before="340"/>
      </w:pPr>
      <w:r>
        <w:t>The change in diet, and the trade they could not give up</w:t>
      </w:r>
    </w:p>
    <w:p>
      <w:pPr>
        <w:spacing w:after="180" w:line="300"/>
        <w:jc w:val="both"/>
      </w:pPr>
      <w:r>
        <w:rPr>
          <w:sz w:val="22"/>
          <w:szCs w:val="22"/>
        </w:rPr>
        <w:t>Jette Arneborg and colleagues measured stable carbon isotopes in 27 Norse skeletons from Greenland churchyards spanning the whole occupation. Marine food rose from roughly 20 per cent of the diet around AD 1000 to roughly 80 per cent by the end. By the fourteenth century seals alone supplied somewhere between half and 80 per cent of what people ate. These figures describe a society that rebuilt its food supply almost entirely across a few generations, the opposite of one clinging to European farming habits.</w:t>
      </w:r>
    </w:p>
    <w:p>
      <w:pPr>
        <w:spacing w:after="220" w:line="260"/>
      </w:pPr>
      <w:r>
        <w:rPr>
          <w:i/>
          <w:iCs/>
          <w:color w:val="666666"/>
          <w:sz w:val="17"/>
          <w:szCs w:val="17"/>
        </w:rPr>
        <w:t xml:space="preserve">Arneborg et al., “Change of diet of the Greenland Vikings determined from stable carbon isotope analysis and 14C dating of their bones,” Radiocarbon 41 (1999), with later isotope work summarised in Journal of the North Atlantic.</w:t>
      </w:r>
    </w:p>
    <w:p>
      <w:pPr>
        <w:spacing w:after="180" w:line="300"/>
        <w:jc w:val="both"/>
      </w:pPr>
      <w:r>
        <w:rPr>
          <w:sz w:val="22"/>
          <w:szCs w:val="22"/>
        </w:rPr>
        <w:t>Here the popular account and the scholarship plainly diverge. Jared Diamond's Collapse (2005) presented the Greenlanders as culturally rigid, unwilling to eat fish or learn Inuit hunting. The isotope evidence does not support that reading. Careful sieving at sites such as the Farm Beneath the Sand does recover fish bone (166 fragments among 24,643 identified pieces inside the house), though fish remain oddly scarce in the middens, and that scarcity is still not fully explained.</w:t>
      </w:r>
    </w:p>
    <w:p>
      <w:pPr>
        <w:spacing w:after="180" w:line="300"/>
        <w:jc w:val="both"/>
      </w:pPr>
      <w:r>
        <w:rPr>
          <w:sz w:val="22"/>
          <w:szCs w:val="22"/>
        </w:rPr>
        <w:t>The binding constraint lay in trade. The Greenlanders could change what they ate, but they could not easily change what they sold, because the export trade bought the iron and timber that made boats, tools, and buildings possible at all. Withdrawing from the ivory economy would not have made them Inuit. It would have cost them the material basis for being anything in that landscape, along with the bishopric, the church, and the tie to Norway that defined who they understood themselves to be. Diversification was not a free option they had simply left unused.</w:t>
      </w:r>
    </w:p>
    <w:p>
      <w:pPr>
        <w:pStyle w:val="Heading2"/>
        <w:spacing w:after="140" w:before="340"/>
      </w:pPr>
      <w:r>
        <w:t xml:space="preserve">How it ended is less settled than the story suggests</w:t>
      </w:r>
    </w:p>
    <w:p>
      <w:pPr>
        <w:spacing w:after="180" w:line="300"/>
        <w:jc w:val="both"/>
      </w:pPr>
      <w:r>
        <w:rPr>
          <w:sz w:val="22"/>
          <w:szCs w:val="22"/>
        </w:rPr>
        <w:t>The Western Settlement went first. People of Norse origin appear to be gone from it by around 1360, with some sites perhaps occupied to nearly 1400. The last written record of the Eastern Settlement is a wedding at Hvalsey church on 16 September 1408. That document survives only because the wedding party were Icelanders whose ship had been blown off course, and who later went home and left records there. Radiocarbon dating indicates roughly another half century of occupation after that.</w:t>
      </w:r>
    </w:p>
    <w:p>
      <w:pPr>
        <w:spacing w:after="180" w:line="300"/>
        <w:jc w:val="both"/>
      </w:pPr>
      <w:r>
        <w:rPr>
          <w:sz w:val="22"/>
          <w:szCs w:val="22"/>
        </w:rPr>
        <w:t>Whether the end came through death or departure is interpretation rather than established fact. Opinion has moved toward departure, since there are no mass graves and the farms were not left strewn with valuables. Newer explanations keep arriving. A 2023 PNAS paper argues that local relative sea-level rise of up to about three metres flooded coastal farmland, but such proposals are recent and not yet consensus. The explanation most specialists now use, from a 2012 paper by Andrew Dugmore, Thomas McGovern and colleagues, is deliberately unglamorous: compounding vulnerabilities and conjunctures. A competent, well-adapted society carrying several thin margins at once met a run of bad conditions on more than one of them.</w:t>
      </w:r>
    </w:p>
    <w:p>
      <w:pPr>
        <w:spacing w:after="220" w:line="260"/>
      </w:pPr>
      <w:r>
        <w:rPr>
          <w:i/>
          <w:iCs/>
          <w:color w:val="666666"/>
          <w:sz w:val="17"/>
          <w:szCs w:val="17"/>
        </w:rPr>
        <w:t xml:space="preserve">Dugmore, McGovern, Vésteinsson, Arneborg, Streeter and Keller, PNAS 109 (2012), 3658–3663; “Sea-level rise in Southwest Greenland as a contributor to Viking abandonment,” PNAS 120 (2023).</w:t>
      </w:r>
    </w:p>
    <w:p>
      <w:pPr>
        <w:pStyle w:val="Heading2"/>
        <w:spacing w:after="140" w:before="340"/>
      </w:pPr>
      <w:r>
        <w:t xml:space="preserve">What to take from it</w:t>
      </w:r>
    </w:p>
    <w:p>
      <w:pPr>
        <w:spacing w:after="180" w:line="300"/>
        <w:jc w:val="both"/>
      </w:pPr>
      <w:r>
        <w:rPr>
          <w:b/>
          <w:bCs/>
          <w:sz w:val="22"/>
          <w:szCs w:val="22"/>
        </w:rPr>
        <w:t>Why this matters:</w:t>
      </w:r>
      <w:r>
        <w:rPr>
          <w:sz w:val="22"/>
          <w:szCs w:val="22"/>
        </w:rPr>
        <w:t xml:space="preserve"> A specialisation that is correct for two centuries can become a dependency without anyone making a bad decision. The danger in a single-commodity economy is the response to a falling price. The rational short-run move is to produce more, which depletes faster the very thing the economy rests on. Norse Greenland appears to have been caught in that cycle for something like 150 years.</w:t>
      </w:r>
    </w:p>
    <w:p>
      <w:pPr>
        <w:spacing w:after="180" w:line="300"/>
        <w:jc w:val="both"/>
      </w:pPr>
      <w:r>
        <w:rPr>
          <w:b/>
          <w:bCs/>
          <w:sz w:val="22"/>
          <w:szCs w:val="22"/>
        </w:rPr>
        <w:t>What this means today:</w:t>
      </w:r>
      <w:r>
        <w:rPr>
          <w:sz w:val="22"/>
          <w:szCs w:val="22"/>
        </w:rPr>
        <w:t xml:space="preserve"> Watch for an organisation that is visibly adapting on one margin while the binding constraint sits on another. The Greenlanders' dietary shift was real, effortful, and successful, and it had almost nothing to do with what actually ended them. A firm retooling its operations while its market is quietly replaced is in the same position, as is a research group becoming more efficient while its single funder loses interest.</w:t>
      </w:r>
    </w:p>
    <w:p>
      <w:pPr>
        <w:spacing w:after="180" w:line="300"/>
        <w:jc w:val="both"/>
      </w:pPr>
      <w:r>
        <w:rPr>
          <w:b/>
          <w:bCs/>
          <w:sz w:val="22"/>
          <w:szCs w:val="22"/>
        </w:rPr>
        <w:t>Where the lesson runs out:</w:t>
      </w:r>
      <w:r>
        <w:rPr>
          <w:sz w:val="22"/>
          <w:szCs w:val="22"/>
        </w:rPr>
        <w:t xml:space="preserve"> The trap depends on an information environment in which producers cannot see their own demand curve. The Greenlanders got one or two ships a year and had no way to learn that taste in Paris had turned. Most modern actors can detect a demand shift within weeks and can hedge or exit. The lesson still applies where the resource base moves slowly and feedback is delayed, as in fisheries, extractive economies, or a town built around one employer. It applies far less where prices are quoted daily.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rPr>
      <w:rFonts w:ascii="Calibri" w:cs="Calibri" w:eastAsia="Calibri" w:hAnsi="Calibri"/>
      <w:b/>
      <w:bCs/>
      <w:color w:val="1F3864"/>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2026-08-22T19:12:54.680Z</dcterms:created>
  <dcterms:modified xsi:type="dcterms:W3CDTF">2026-08-22T19:12:54.680Z</dcterms:modified>
</cp:coreProperties>
</file>

<file path=docProps/custom.xml><?xml version="1.0" encoding="utf-8"?>
<Properties xmlns="http://schemas.openxmlformats.org/officeDocument/2006/custom-properties" xmlns:vt="http://schemas.openxmlformats.org/officeDocument/2006/docPropsVTypes"/>
</file>