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864"/>
          <w:sz w:val="40"/>
          <w:szCs w:val="40"/>
        </w:rPr>
        <w:t xml:space="preserve">Sweden Overrode an 83 Percent “No” Because Waiting Kept Raising the Price</w:t>
      </w:r>
    </w:p>
    <w:p>
      <w:pPr>
        <w:spacing w:after="160"/>
      </w:pPr>
      <w:r>
        <w:rPr>
          <w:rFonts w:ascii="Georgia" w:cs="Georgia" w:eastAsia="Georgia" w:hAnsi="Georgia"/>
          <w:i/>
          <w:iCs/>
          <w:color w:val="444444"/>
          <w:sz w:val="22"/>
          <w:szCs w:val="22"/>
        </w:rPr>
        <w:t xml:space="preserve">Dagen H, 3 September 1967 — the day a whole country changed which side of the road it drove on</w:t>
      </w:r>
    </w:p>
    <w:p>
      <w:pPr>
        <w:pBdr>
          <w:bottom w:val="single" w:color="1F3864" w:sz="6" w:space="8"/>
        </w:pBdr>
        <w:spacing w:after="320"/>
      </w:pPr>
      <w:r>
        <w:rPr>
          <w:rFonts w:ascii="Georgia" w:cs="Georgia" w:eastAsia="Georgia" w:hAnsi="Georgia"/>
          <w:color w:val="888888"/>
          <w:sz w:val="18"/>
          <w:szCs w:val="18"/>
        </w:rPr>
        <w:t xml:space="preserve">August 29, 2026 · Learnings from History</w:t>
      </w:r>
    </w:p>
    <w:p>
      <w:pPr>
        <w:spacing w:after="200" w:line="300"/>
        <w:jc w:val="left"/>
      </w:pPr>
      <w:r>
        <w:rPr>
          <w:rFonts w:ascii="Georgia" w:cs="Georgia" w:eastAsia="Georgia" w:hAnsi="Georgia"/>
          <w:sz w:val="22"/>
          <w:szCs w:val="22"/>
        </w:rPr>
        <w:t>At 4:50 on a Sunday morning in September 1967, every vehicle moving in Sweden came to a stop, crossed carefully to the other side of the road, and waited. Ten minutes later, traffic resumed on the right. Twelve years earlier, Swedish voters had rejected exactly this change by 82.9 percent. The government did it anyway, and it went almost perfectly. The episode shows the rare conditions under which overriding a landslide public vote is the defensible call. It also shows that the “safety miracle” that followed the switch was not what it appeared to be.</w:t>
      </w:r>
    </w:p>
    <w:p>
      <w:pPr>
        <w:pStyle w:val="Heading1"/>
        <w:spacing w:after="200" w:before="360"/>
      </w:pPr>
      <w:r>
        <w:rPr>
          <w:rFonts w:ascii="Georgia" w:cs="Georgia" w:eastAsia="Georgia" w:hAnsi="Georgia"/>
          <w:b/>
          <w:bCs/>
          <w:color w:val="1F3864"/>
          <w:sz w:val="28"/>
          <w:szCs w:val="28"/>
        </w:rPr>
        <w:t xml:space="preserve">A Country Driving on the Left in Cars Built for the Right</w:t>
      </w:r>
    </w:p>
    <w:p>
      <w:pPr>
        <w:spacing w:after="200" w:line="300"/>
        <w:jc w:val="left"/>
      </w:pPr>
      <w:r>
        <w:rPr>
          <w:rFonts w:ascii="Georgia" w:cs="Georgia" w:eastAsia="Georgia" w:hAnsi="Georgia"/>
          <w:sz w:val="22"/>
          <w:szCs w:val="22"/>
        </w:rPr>
        <w:t>Sweden had driven on the left since the eighteenth century, and by the 1950s the practice had become an oddity, and a dangerous one. Every road neighbor drove on the right: Norway and Finland, with which Sweden shares land borders, as well as Denmark and the rest of continental Europe. About five million vehicles crossed Sweden’s borders each year, switching sides at the frontier. More than 90 percent of the cars on Swedish roads also had their steering wheel on the left, the configuration built for right-hand traffic. Sweden’s own manufacturers, Volvo and Saab, built chiefly for export markets, and most imports came from countries that drove on the right.</w:t>
      </w:r>
    </w:p>
    <w:p>
      <w:pPr>
        <w:spacing w:after="240"/>
      </w:pPr>
      <w:r>
        <w:rPr>
          <w:rFonts w:ascii="Georgia" w:cs="Georgia" w:eastAsia="Georgia" w:hAnsi="Georgia"/>
          <w:i/>
          <w:iCs/>
          <w:color w:val="666666"/>
          <w:sz w:val="18"/>
          <w:szCs w:val="18"/>
        </w:rPr>
        <w:t xml:space="preserve">Réalités no. 200–205 (1967), p. 95, for the 90 percent figure; contemporary reporting in Time, “Switch to the Right,” 15 September 1967.</w:t>
      </w:r>
    </w:p>
    <w:p>
      <w:pPr>
        <w:spacing w:after="200" w:line="300"/>
        <w:jc w:val="left"/>
      </w:pPr>
      <w:r>
        <w:rPr>
          <w:rFonts w:ascii="Georgia" w:cs="Georgia" w:eastAsia="Georgia" w:hAnsi="Georgia"/>
          <w:sz w:val="22"/>
          <w:szCs w:val="22"/>
        </w:rPr>
        <w:t>A left-hand-drive car in left-hand traffic puts the driver at the edge of the road rather than toward the middle. To overtake on a narrow two-lane highway, a driver pulled into the oncoming lane partly blind. Contemporary observers connected this mismatch to head-on collisions. Everyone could see the problem. Nothing was done because the costs of fixing it were concentrated, immediate, and personal (every driver retrained, every bus rebuilt, every sign moved), while the benefits were diffuse and mostly in the future. In October 1955 the government put the question to a consultative referendum, and the answer was unambiguous. On a 53 percent turnout, 82.9 percent voted to keep driving on the left and 15.5 percent to switch.</w:t>
      </w:r>
    </w:p>
    <w:p>
      <w:pPr>
        <w:spacing w:after="240"/>
      </w:pPr>
      <w:r>
        <w:rPr>
          <w:rFonts w:ascii="Georgia" w:cs="Georgia" w:eastAsia="Georgia" w:hAnsi="Georgia"/>
          <w:i/>
          <w:iCs/>
          <w:color w:val="666666"/>
          <w:sz w:val="18"/>
          <w:szCs w:val="18"/>
        </w:rPr>
        <w:t xml:space="preserve">Referendum figures: official Swedish election records, as compiled in standard references on the 1955 driving-side referendum.</w:t>
      </w:r>
    </w:p>
    <w:p>
      <w:pPr>
        <w:pStyle w:val="Heading1"/>
        <w:spacing w:after="200" w:before="360"/>
      </w:pPr>
      <w:r>
        <w:rPr>
          <w:rFonts w:ascii="Georgia" w:cs="Georgia" w:eastAsia="Georgia" w:hAnsi="Georgia"/>
          <w:b/>
          <w:bCs/>
          <w:color w:val="1F3864"/>
          <w:sz w:val="28"/>
          <w:szCs w:val="28"/>
        </w:rPr>
        <w:t>The 1955 Vote and the Rising Cost of Waiting</w:t>
      </w:r>
    </w:p>
    <w:p>
      <w:pPr>
        <w:spacing w:after="200" w:line="300"/>
        <w:jc w:val="left"/>
      </w:pPr>
      <w:r>
        <w:rPr>
          <w:rFonts w:ascii="Georgia" w:cs="Georgia" w:eastAsia="Georgia" w:hAnsi="Georgia"/>
          <w:sz w:val="22"/>
          <w:szCs w:val="22"/>
        </w:rPr>
        <w:t>It is easy to misread that vote as public irrationality. In the mid-1950s Sweden had roughly half a million cars. The dangers of the steering-wheel mismatch grew with traffic, and traffic was still modest. The costs of switching were certain and near: money, disruption, and the feared chaos of a nation of drivers reversing lifelong habits. A voter weighing certain present costs against diffuse future benefits could sensibly say no. The problem was that those costs kept rising. By 1963 the number of cars had tripled to 1.5 million, and official projections pointed to 2.8 million by 1975. Every year of delay added more drivers with left-side habits, more buses with doors on the wrong side, and more roads and signs built for left-hand traffic. Headlamps were reportedly another factor. Swedish cars still used cheap, standardized round headlamps, but the industry was moving toward model-specific lamps, which would make converting the fleet’s lighting progressively more expensive. That argument survives mainly in retrospective accounts and is thinly documented, but the general point it illustrates is solid. The switch would never again be as cheap as it was then.</w:t>
      </w:r>
    </w:p>
    <w:p>
      <w:pPr>
        <w:spacing w:after="240"/>
      </w:pPr>
      <w:r>
        <w:rPr>
          <w:rFonts w:ascii="Georgia" w:cs="Georgia" w:eastAsia="Georgia" w:hAnsi="Georgia"/>
          <w:i/>
          <w:iCs/>
          <w:color w:val="666666"/>
          <w:sz w:val="18"/>
          <w:szCs w:val="18"/>
        </w:rPr>
        <w:t xml:space="preserve">Car-fleet figures: News from Sweden (Swedish Information Service), 1963. Headlamp argument: retrospective accounts of the Riksdag deliberations; treat as plausible but weakly sourced.</w:t>
      </w:r>
    </w:p>
    <w:p>
      <w:pPr>
        <w:spacing w:after="200" w:line="300"/>
        <w:jc w:val="left"/>
      </w:pPr>
      <w:r>
        <w:rPr>
          <w:rFonts w:ascii="Georgia" w:cs="Georgia" w:eastAsia="Georgia" w:hAnsi="Georgia"/>
          <w:sz w:val="22"/>
          <w:szCs w:val="22"/>
        </w:rPr>
        <w:t>On 10 May 1963, the Riksdag approved Prime Minister Tage Erlander’s proposal to introduce right-hand traffic in 1967, without a second referendum. This was representative government explicitly overriding a plebiscite, on the grounds that the price of the question had changed since 1955. Parliament treated the eight-year-old vote as information with a shelf life rather than a permanent verdict. The override survived politically because of what came next. Instead of springing the change on the country, the government spent four years and a great deal of money rehearsing it in public.</w:t>
      </w:r>
    </w:p>
    <w:p>
      <w:pPr>
        <w:pStyle w:val="Heading1"/>
        <w:spacing w:after="200" w:before="360"/>
      </w:pPr>
      <w:r>
        <w:rPr>
          <w:rFonts w:ascii="Georgia" w:cs="Georgia" w:eastAsia="Georgia" w:hAnsi="Georgia"/>
          <w:b/>
          <w:bCs/>
          <w:color w:val="1F3864"/>
          <w:sz w:val="28"/>
          <w:szCs w:val="28"/>
        </w:rPr>
        <w:t xml:space="preserve">Four Years of Rehearsal for Ten Minutes at a Standstill</w:t>
      </w:r>
    </w:p>
    <w:p>
      <w:pPr>
        <w:spacing w:after="200" w:line="300"/>
        <w:jc w:val="left"/>
      </w:pPr>
      <w:r>
        <w:rPr>
          <w:rFonts w:ascii="Georgia" w:cs="Georgia" w:eastAsia="Georgia" w:hAnsi="Georgia"/>
          <w:sz w:val="22"/>
          <w:szCs w:val="22"/>
        </w:rPr>
        <w:t>A state commission, the Statens Högertrafikkommission, was created to run the change, and on the advice of psychologists it began a four-year public education program. The campaign was designed to be inescapable. The Dagen H logo appeared on milk cartons and even underwear, and national television ran a song contest won by “Håll dig till höger, Svensson,” or “Keep to the right, Svensson.” Roughly 350,000 road signs were replaced or repositioned, about 20,000 in Stockholm alone. New white lane lines were painted alongside the old yellow ones and covered with black tape until the day. Every intersection got a second set of signals wrapped in black plastic. More than 1,000 new buses with right-side doors were purchased and some 8,000 older ones were rebuilt with doors on both sides. Several cities retired tram lines rather than convert them. The commonly cited total cost is 628 million kronor, on the order of 120 million US dollars at 1967 exchange rates.</w:t>
      </w:r>
    </w:p>
    <w:p>
      <w:pPr>
        <w:spacing w:after="240"/>
      </w:pPr>
      <w:r>
        <w:rPr>
          <w:rFonts w:ascii="Georgia" w:cs="Georgia" w:eastAsia="Georgia" w:hAnsi="Georgia"/>
          <w:i/>
          <w:iCs/>
          <w:color w:val="666666"/>
          <w:sz w:val="18"/>
          <w:szCs w:val="18"/>
        </w:rPr>
        <w:t xml:space="preserve">Sign counts: Report of the Fifth World Meeting of the International Road Federation (1966); campaign details: Time, 15 September 1967, and Expressen retrospective, 1 September 2017. The cost figure circulates in secondary accounts rather than a single primary document.</w:t>
      </w:r>
    </w:p>
    <w:p>
      <w:pPr>
        <w:spacing w:after="200" w:line="300"/>
        <w:jc w:val="left"/>
      </w:pPr>
      <w:r>
        <w:rPr>
          <w:rFonts w:ascii="Georgia" w:cs="Georgia" w:eastAsia="Georgia" w:hAnsi="Georgia"/>
          <w:sz w:val="22"/>
          <w:szCs w:val="22"/>
        </w:rPr>
        <w:t>On Sunday, 3 September 1967, non-essential traffic was banned nationally from 1:00 to 6:00 a.m., and for longer in Stockholm and Malmö, where work crews had to rebuild intersections overnight. At 4:50 a.m. all traffic stopped and changed sides, and at 5:00 it moved again. The day produced 157 reported minor accidents, 32 of them with injuries, few of them serious. On the first working Monday there were 125 reported traffic accidents nationwide, none fatal, against a range of 130 to 198 on ordinary Mondays.</w:t>
      </w:r>
    </w:p>
    <w:p>
      <w:pPr>
        <w:spacing w:after="240"/>
      </w:pPr>
      <w:r>
        <w:rPr>
          <w:rFonts w:ascii="Georgia" w:cs="Georgia" w:eastAsia="Georgia" w:hAnsi="Georgia"/>
          <w:i/>
          <w:iCs/>
          <w:color w:val="666666"/>
          <w:sz w:val="18"/>
          <w:szCs w:val="18"/>
        </w:rPr>
        <w:t xml:space="preserve">Day-of and Monday figures: contemporary wire reports, including the Montreal Gazette, 5 September 1967, and The Herald (Glasgow), 4 September 1967.</w:t>
      </w:r>
    </w:p>
    <w:p>
      <w:pPr>
        <w:pStyle w:val="Heading1"/>
        <w:spacing w:after="200" w:before="360"/>
      </w:pPr>
      <w:r>
        <w:rPr>
          <w:rFonts w:ascii="Georgia" w:cs="Georgia" w:eastAsia="Georgia" w:hAnsi="Georgia"/>
          <w:b/>
          <w:bCs/>
          <w:color w:val="1F3864"/>
          <w:sz w:val="28"/>
          <w:szCs w:val="28"/>
        </w:rPr>
        <w:t>What Happened to Accident Rates After the Switch</w:t>
      </w:r>
    </w:p>
    <w:p>
      <w:pPr>
        <w:spacing w:after="200" w:line="300"/>
        <w:jc w:val="left"/>
      </w:pPr>
      <w:r>
        <w:rPr>
          <w:rFonts w:ascii="Georgia" w:cs="Georgia" w:eastAsia="Georgia" w:hAnsi="Georgia"/>
          <w:sz w:val="22"/>
          <w:szCs w:val="22"/>
        </w:rPr>
        <w:t>The popular account ends there: a nation changed sides overnight and the roads got safer, which is taken as proof of Swedish orderliness and good planning. The road-safety literature tells a more useful story. Motor insurance claims fell by roughly 40 percent immediately after the switch and returned to normal within about six weeks. By 1969, overall accident rates were back to their pre-switch levels. Researchers, notably John Adams in Risk and Freedom (1985) and the later behavioral-adaptation literature, read the episode this way: the change made driving feel far more dangerous than it actually was, so drivers slowed down and paid ferocious attention. The safety gain came from fear, and it faded as familiarity returned. The switch never produced a lasting drop in accidents. Its payoff was compatibility with the neighbors and with the cars Swedes already owned. Iceland, watching it work, made its own switch the following May.</w:t>
      </w:r>
    </w:p>
    <w:p>
      <w:pPr>
        <w:spacing w:after="240"/>
      </w:pPr>
      <w:r>
        <w:rPr>
          <w:rFonts w:ascii="Georgia" w:cs="Georgia" w:eastAsia="Georgia" w:hAnsi="Georgia"/>
          <w:i/>
          <w:iCs/>
          <w:color w:val="666666"/>
          <w:sz w:val="18"/>
          <w:szCs w:val="18"/>
        </w:rPr>
        <w:t xml:space="preserve">Adams, Risk and Freedom: The Record of Road Safety Regulation (1985); Behavioural Adaptation and Road Safety: Theory, Evidence and Action (CRC Press, 2013), p. 67.</w:t>
      </w:r>
    </w:p>
    <w:p>
      <w:pPr>
        <w:pStyle w:val="Heading1"/>
        <w:spacing w:after="200" w:before="360"/>
      </w:pPr>
      <w:r>
        <w:rPr>
          <w:rFonts w:ascii="Georgia" w:cs="Georgia" w:eastAsia="Georgia" w:hAnsi="Georgia"/>
          <w:b/>
          <w:bCs/>
          <w:color w:val="1F3864"/>
          <w:sz w:val="28"/>
          <w:szCs w:val="28"/>
        </w:rPr>
        <w:t xml:space="preserve">Takeaways</w:t>
      </w:r>
    </w:p>
    <w:p>
      <w:pPr>
        <w:spacing w:after="220" w:line="300"/>
      </w:pPr>
      <w:r>
        <w:rPr>
          <w:rFonts w:ascii="Georgia" w:cs="Georgia" w:eastAsia="Georgia" w:hAnsi="Georgia"/>
          <w:b/>
          <w:bCs/>
          <w:sz w:val="22"/>
          <w:szCs w:val="22"/>
        </w:rPr>
        <w:t>Why this matters:</w:t>
      </w:r>
      <w:r>
        <w:rPr>
          <w:rFonts w:ascii="Georgia" w:cs="Georgia" w:eastAsia="Georgia" w:hAnsi="Georgia"/>
          <w:sz w:val="22"/>
          <w:szCs w:val="22"/>
        </w:rPr>
        <w:t xml:space="preserve"> Switching costs scale with the installed base. A referendum result records what a change cost at the moment of the vote. When adoption raises the price every year, deferring to an old vote means choosing a more expensive version of the same decision later. Sweden’s parliament treated the 1955 landslide as evidence that had expired, and it paid for the override with four years of visible, well-funded preparation instead of a surprise.</w:t>
      </w:r>
    </w:p>
    <w:p>
      <w:pPr>
        <w:spacing w:after="22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cost curve governs any installed-base migration, such as a country adopting the metric system, a utility changing grid standards, a company replacing a core software system, or the long crawl to IPv6. “Not yet” is rarely a neutral choice. It usually means “more, later.” Dagen H also offers a model for carrying out such a change: make it simultaneous rather than gradual, keep the new rule simple, rehearse it publicly for years, and expect the early gains that come from heightened attention to fade instead of counting on them.</w:t>
      </w:r>
    </w:p>
    <w:p>
      <w:pPr>
        <w:spacing w:after="220" w:line="300"/>
      </w:pPr>
      <w:r>
        <w:rPr>
          <w:rFonts w:ascii="Georgia" w:cs="Georgia" w:eastAsia="Georgia" w:hAnsi="Georgia"/>
          <w:b/>
          <w:bCs/>
          <w:sz w:val="22"/>
          <w:szCs w:val="22"/>
        </w:rPr>
        <w:t>Where the lesson runs out:</w:t>
      </w:r>
      <w:r>
        <w:rPr>
          <w:rFonts w:ascii="Georgia" w:cs="Georgia" w:eastAsia="Georgia" w:hAnsi="Georgia"/>
          <w:sz w:val="22"/>
          <w:szCs w:val="22"/>
        </w:rPr>
        <w:t xml:space="preserve"> Three conditions made the override defensible. The public’s objection was empirical (cost and chaos), the state absorbed most of the cost, and success or failure would be plainly visible within days. Where a vote expresses values or creates permanent losers, as on questions of sovereignty, land, or identity, there is no cost curve to reprice, and this episode offers no license. If waiting genuinely makes a change cheaper, for example because better tools are coming, the whole argument runs in reverse.</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2026-08-29T19:10:09.844Z</dcterms:created>
  <dcterms:modified xsi:type="dcterms:W3CDTF">2026-08-29T19:10:09.844Z</dcterms:modified>
</cp:coreProperties>
</file>

<file path=docProps/custom.xml><?xml version="1.0" encoding="utf-8"?>
<Properties xmlns="http://schemas.openxmlformats.org/officeDocument/2006/custom-properties" xmlns:vt="http://schemas.openxmlformats.org/officeDocument/2006/docPropsVTypes"/>
</file>