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color w:val="1F3552"/>
          <w:sz w:val="40"/>
          <w:szCs w:val="40"/>
        </w:rPr>
        <w:t xml:space="preserve">The Most Careful Calculation of the War Left Out the Enemy's Next Move</w:t>
      </w:r>
    </w:p>
    <w:p>
      <w:pPr>
        <w:spacing w:after="320"/>
      </w:pPr>
      <w:r>
        <w:rPr>
          <w:rFonts w:ascii="Georgia" w:cs="Georgia" w:eastAsia="Georgia" w:hAnsi="Georgia"/>
          <w:i/>
          <w:iCs/>
          <w:color w:val="888888"/>
          <w:sz w:val="20"/>
          <w:szCs w:val="20"/>
        </w:rPr>
        <w:t xml:space="preserve">Germany, January 1917: the decision for unrestricted submarine warfare · August 30, 2026</w:t>
      </w:r>
    </w:p>
    <w:p>
      <w:pPr>
        <w:spacing w:after="200" w:line="300"/>
      </w:pPr>
      <w:r>
        <w:rPr>
          <w:rFonts w:ascii="Georgia" w:cs="Georgia" w:eastAsia="Georgia" w:hAnsi="Georgia"/>
          <w:sz w:val="22"/>
          <w:szCs w:val="22"/>
        </w:rPr>
        <w:t>In January 1917, Germany bet the First World War on a staff study. It may have been the most rigorous quantitative plan any government produced during that war. It was precise to the ton and checked by bankers and economists, and it concluded that unrestricted submarine attacks on shipping would force Britain to sue for peace within five months. The U-boats went on to hit their targets. Britain did not collapse, the United States entered the war, and Germany lost. The arithmetic held up. The failure lay in a single assumption running through every line of it: that Britain would keep behaving the way it was behaving when the numbers were collected.</w:t>
      </w:r>
    </w:p>
    <w:p>
      <w:pPr>
        <w:pStyle w:val="Heading2"/>
        <w:spacing w:after="160" w:before="360"/>
      </w:pPr>
      <w:r>
        <w:rPr>
          <w:rFonts w:ascii="Georgia" w:cs="Georgia" w:eastAsia="Georgia" w:hAnsi="Georgia"/>
          <w:b/>
          <w:bCs/>
          <w:color w:val="1F3552"/>
          <w:sz w:val="28"/>
          <w:szCs w:val="28"/>
        </w:rPr>
        <w:t xml:space="preserve">A Losing Hand, and One Card Left</w:t>
      </w:r>
    </w:p>
    <w:p>
      <w:pPr>
        <w:spacing w:after="200" w:line="300"/>
      </w:pPr>
      <w:r>
        <w:rPr>
          <w:rFonts w:ascii="Georgia" w:cs="Georgia" w:eastAsia="Georgia" w:hAnsi="Georgia"/>
          <w:sz w:val="22"/>
          <w:szCs w:val="22"/>
        </w:rPr>
        <w:t>By December 1916 Germany's position was bleak in ways its leaders could measure. The battles of Verdun and the Somme had consumed the year and moved nothing. The British naval blockade was biting hard. The winter of 1916–17 became known in Germany as the turnip winter, when a failed potato crop left civilians living substantially on fodder turnips. The Allies rejected a German peace note in December within weeks. The army's supreme command had concluded that victory on land was no longer attainable. The chief of the Admiralty Staff, Admiral Henning von Holtzendorff, had spent over a year arguing that the navy held the one weapon that could still decide the war: the submarine, freed from the 'cruiser rules' that required surfacing and warning merchant ships before sinking them.</w:t>
      </w:r>
    </w:p>
    <w:p>
      <w:pPr>
        <w:spacing w:after="240"/>
      </w:pPr>
      <w:r>
        <w:rPr>
          <w:rFonts w:ascii="Georgia" w:cs="Georgia" w:eastAsia="Georgia" w:hAnsi="Georgia"/>
          <w:i/>
          <w:iCs/>
          <w:color w:val="666666"/>
          <w:sz w:val="18"/>
          <w:szCs w:val="18"/>
        </w:rPr>
        <w:t xml:space="preserve">Context and drafting history: Dirk Steffen, 'The Holtzendorff Memorandum of 22 December 1916 and Germany's Declaration of Unrestricted U-boat Warfare,' Journal of Military History 68/1 (2004); Joachim Schröder, Die U-Boote des Kaisers (2001).</w:t>
      </w:r>
    </w:p>
    <w:p>
      <w:pPr>
        <w:spacing w:after="200" w:line="300"/>
      </w:pPr>
      <w:r>
        <w:rPr>
          <w:rFonts w:ascii="Georgia" w:cs="Georgia" w:eastAsia="Georgia" w:hAnsi="Georgia"/>
          <w:sz w:val="22"/>
          <w:szCs w:val="22"/>
        </w:rPr>
        <w:t>Holtzendorff's memorandum of December 22, 1916 made the case with unusual quantitative discipline. It started from roughly 20 million gross register tons of British shipping. It subtracted tonnage requisitioned by the military, under repair, and serving other allies, added neutral and allied ships in British trade, and arrived at about 10.75 million tons actually supplying Britain. If the U-boats sank 600,000 tons a month, a rate they were already approaching under gentler rules, and frightened off two-fifths of the neutral tonnage, British seaborne supply would fall 39 percent within five months. The timing argument was what made the case persuasive. The world grain harvest of 1916 had failed, and the memo argued that this would force Britain to haul wheat from Australia rather than North America, tying up an additional 720,000 tons of shipping on the longer routes. The core tonnage-starvation model came from a February 1916 study by Dr. Richard Fuss, director of a Magdeburg banking institute, and a roster of prominent German financial and economic experts had endorsed it. The memo concluded that Britain would be forced to terms before the next harvest, provided the campaign began by February 1, 1917.</w:t>
      </w:r>
    </w:p>
    <w:p>
      <w:pPr>
        <w:spacing w:after="240"/>
      </w:pPr>
      <w:r>
        <w:rPr>
          <w:rFonts w:ascii="Georgia" w:cs="Georgia" w:eastAsia="Georgia" w:hAnsi="Georgia"/>
          <w:i/>
          <w:iCs/>
          <w:color w:val="666666"/>
          <w:sz w:val="18"/>
          <w:szCs w:val="18"/>
        </w:rPr>
        <w:t xml:space="preserve">Memorandum text: Holtzendorff to Hindenburg, 22 December 1916, NARA T-1022, roll 847; translation by Dirk Steffen at gwpda.org/naval/holtzendorffmemo.htm.</w:t>
      </w:r>
    </w:p>
    <w:p>
      <w:pPr>
        <w:pStyle w:val="Heading2"/>
        <w:spacing w:after="160" w:before="360"/>
      </w:pPr>
      <w:r>
        <w:rPr>
          <w:rFonts w:ascii="Georgia" w:cs="Georgia" w:eastAsia="Georgia" w:hAnsi="Georgia"/>
          <w:b/>
          <w:bCs/>
          <w:color w:val="1F3552"/>
          <w:sz w:val="28"/>
          <w:szCs w:val="28"/>
        </w:rPr>
        <w:t>How the Memo Treated American Entry</w:t>
      </w:r>
    </w:p>
    <w:p>
      <w:pPr>
        <w:spacing w:after="200" w:line="300"/>
      </w:pPr>
      <w:r>
        <w:rPr>
          <w:rFonts w:ascii="Georgia" w:cs="Georgia" w:eastAsia="Georgia" w:hAnsi="Georgia"/>
          <w:sz w:val="22"/>
          <w:szCs w:val="22"/>
        </w:rPr>
        <w:t>The popular version of this story is one of recklessness, with generals gambling blindly and ignoring America. The document shows something more unsettling: the memo confronted American entry directly and analyzed it. Holtzendorff wrote that war with the United States was so serious that everything should be done to avoid it. He then reasoned through the worst case, proposing, in Steffen's translation, "to assume the worst case as the most probable one." His conclusion was that America could not matter inside the five-month window. Its troops could not cross the Atlantic in numbers, because the shipping to carry them was precisely what the U-boats were destroying. Its money could not substitute for hulls. German ships interned in American ports would be sabotaged by their crews before they could be seized. At the decisive conference at Pless on January 9, 1917, Holtzendorff is widely reported to have guaranteed on his word as an officer that not one American soldier would land on the Continent. The quotation is secondhand, but it matches the memo's logic exactly.</w:t>
      </w:r>
    </w:p>
    <w:p>
      <w:pPr>
        <w:spacing w:after="200" w:line="300"/>
      </w:pPr>
      <w:r>
        <w:rPr>
          <w:rFonts w:ascii="Georgia" w:cs="Georgia" w:eastAsia="Georgia" w:hAnsi="Georgia"/>
          <w:sz w:val="22"/>
          <w:szCs w:val="22"/>
        </w:rPr>
        <w:t>Reconstructed as it looked from Berlin, the choice is uncomfortably defensible. Chancellor Theobald von Bethmann-Hollweg had blocked unrestricted submarine warfare for two years precisely because of America. By January 1917, though, the alternative he was defending was slow, certain exhaustion. The blockade was starving Germany, the army saw no path to victory, and the one rigorous analysis on the table, endorsed by the military, the navy, and civilian economic experts, said the war could be won in five months. At Pless, Bethmann yielded, saying he was not in a position to contradict the military on a measure they called vital. The Kaiser signed the order the same day, and the campaign opened February 1. The leadership knew it was a gamble. It was a gamble backed by the best-documented forecast available, chosen over an alternative that looked like guaranteed defeat.</w:t>
      </w:r>
    </w:p>
    <w:p>
      <w:pPr>
        <w:spacing w:after="240"/>
      </w:pPr>
      <w:r>
        <w:rPr>
          <w:rFonts w:ascii="Georgia" w:cs="Georgia" w:eastAsia="Georgia" w:hAnsi="Georgia"/>
          <w:i/>
          <w:iCs/>
          <w:color w:val="666666"/>
          <w:sz w:val="18"/>
          <w:szCs w:val="18"/>
        </w:rPr>
        <w:t xml:space="preserve">Decision process: Steffen (2004); Müller's diaries in Görlitz, ed., Regierte der Kaiser? (1959).</w:t>
      </w:r>
    </w:p>
    <w:p>
      <w:pPr>
        <w:pStyle w:val="Heading2"/>
        <w:spacing w:after="160" w:before="360"/>
      </w:pPr>
      <w:r>
        <w:rPr>
          <w:rFonts w:ascii="Georgia" w:cs="Georgia" w:eastAsia="Georgia" w:hAnsi="Georgia"/>
          <w:b/>
          <w:bCs/>
          <w:color w:val="1F3552"/>
          <w:sz w:val="28"/>
          <w:szCs w:val="28"/>
        </w:rPr>
        <w:t>The U-Boats Hit Their Numbers, and Britain Adapted</w:t>
      </w:r>
    </w:p>
    <w:p>
      <w:pPr>
        <w:spacing w:after="200" w:line="300"/>
      </w:pPr>
      <w:r>
        <w:rPr>
          <w:rFonts w:ascii="Georgia" w:cs="Georgia" w:eastAsia="Georgia" w:hAnsi="Georgia"/>
          <w:sz w:val="22"/>
          <w:szCs w:val="22"/>
        </w:rPr>
        <w:t>The United States broke relations on February 3 and declared war on April 6, 1917. Meanwhile the campaign outperformed its own projections. Sinkings climbed past 500,000 tons in February and March. In April 1917 Allied and neutral losses reached roughly 860,000 gross tons, the worst month for shipping in the entire war. Britain's alarm was real. Admiral Jellicoe, the First Sea Lord, warned that spring that Britain could not continue into 1918 at that rate of loss. For about three months, the memorandum looked like the most accurate forecast of the war.</w:t>
      </w:r>
    </w:p>
    <w:p>
      <w:pPr>
        <w:spacing w:after="240"/>
      </w:pPr>
      <w:r>
        <w:rPr>
          <w:rFonts w:ascii="Georgia" w:cs="Georgia" w:eastAsia="Georgia" w:hAnsi="Georgia"/>
          <w:i/>
          <w:iCs/>
          <w:color w:val="666666"/>
          <w:sz w:val="18"/>
          <w:szCs w:val="18"/>
        </w:rPr>
        <w:t xml:space="preserve">Campaign figures: 1914-1918-online International Encyclopedia of the First World War, 'Atlantic U-boat Campaign.'</w:t>
      </w:r>
    </w:p>
    <w:p>
      <w:pPr>
        <w:spacing w:after="200" w:line="300"/>
      </w:pPr>
      <w:r>
        <w:rPr>
          <w:rFonts w:ascii="Georgia" w:cs="Georgia" w:eastAsia="Georgia" w:hAnsi="Georgia"/>
          <w:sz w:val="22"/>
          <w:szCs w:val="22"/>
        </w:rPr>
        <w:t>Then every number the memo had treated as fixed began to move. Over its own initial resistance, the Admiralty adopted convoys, first trialed in late April 1917 and general by autumn. Grouping merchantmen with escorts sharply cut the U-boats' opportunities. By October 1917, 99 inbound convoys had brought in 1,501 ships and lost 10, a loss rate under one percent. In the six months before general convoying, over 3 million tons went down, and in the following six months about 1.4 million. The demand side of the model failed as well. The memo had asserted, in detail, that Britain lacked the administration to ration food and that its population would not submit. In fact Britain plowed up pasture under the Corn Production Act of 1917, centralized wheat purchasing and shipping allocation, and bought its grain from North America on the short route, with American finance behind it after April. It got through the entire war without ever rationing bread. The economic historian Avner Offer, who dissected the memorandum's economics, found that its individual figures were mostly defensible as snapshots. What failed, in his account, was the extrapolation, which allowed Britain no substitution, no reorganization, and no learning. The troops the memo said could not cross did cross: roughly two million American soldiers reached France by November 1918, many of them carried in British ships.</w:t>
      </w:r>
    </w:p>
    <w:p>
      <w:pPr>
        <w:spacing w:after="240"/>
      </w:pPr>
      <w:r>
        <w:rPr>
          <w:rFonts w:ascii="Georgia" w:cs="Georgia" w:eastAsia="Georgia" w:hAnsi="Georgia"/>
          <w:i/>
          <w:iCs/>
          <w:color w:val="666666"/>
          <w:sz w:val="18"/>
          <w:szCs w:val="18"/>
        </w:rPr>
        <w:t xml:space="preserve">Avner Offer, The First World War: An Agrarian Interpretation (Oxford, 1989), ch. 25–26.</w:t>
      </w:r>
    </w:p>
    <w:p>
      <w:pPr>
        <w:pStyle w:val="Heading2"/>
        <w:spacing w:after="160" w:before="360"/>
      </w:pPr>
      <w:r>
        <w:rPr>
          <w:rFonts w:ascii="Georgia" w:cs="Georgia" w:eastAsia="Georgia" w:hAnsi="Georgia"/>
          <w:b/>
          <w:bCs/>
          <w:color w:val="1F3552"/>
          <w:sz w:val="28"/>
          <w:szCs w:val="28"/>
        </w:rPr>
        <w:t>What Is Settled and What the Model Left Out</w:t>
      </w:r>
    </w:p>
    <w:p>
      <w:pPr>
        <w:spacing w:after="200" w:line="300"/>
      </w:pPr>
      <w:r>
        <w:rPr>
          <w:rFonts w:ascii="Georgia" w:cs="Georgia" w:eastAsia="Georgia" w:hAnsi="Georgia"/>
          <w:sz w:val="22"/>
          <w:szCs w:val="22"/>
        </w:rPr>
        <w:t>Some of this is established fact. The memorandum said what it said, the leadership relied on it, and the tonnage war unfolded as described. The documents survive, down to the marginalia. That the decision was defensible given what Berlin knew is interpretation, though a well-supported one, and historians who emphasize Bethmann's two years of resistance read it more harshly. How close the campaign came to succeeding is genuinely disputed. Some naval historians argue the spring of 1917 was a nearer-run thing than the tidy convoy statistics suggest. If they are right, the lesson shifts from 'the model was wrong' toward 'the model was right about the pressure and wrong about the breaking point.' Either way, the failure has the same structure. Every quantity in the memorandum measured a system operating under one set of policies and projected it forward into a world where the victim of the plan was free to change those policies. The rigor was real, but it covered Germany's own action and said nothing about Britain's response. That silence went unnoticed precisely because the arithmetic around it was so good. Worse, the precision did political work. It turned a desperate gamble into something that could be presented as a calculated, even responsible, choice, and it gave a wavering Kaiser and chancellor a document to defer to.</w:t>
      </w:r>
    </w:p>
    <w:p>
      <w:pPr>
        <w:pStyle w:val="Heading2"/>
        <w:spacing w:after="160" w:before="360"/>
      </w:pPr>
      <w:r>
        <w:rPr>
          <w:rFonts w:ascii="Georgia" w:cs="Georgia" w:eastAsia="Georgia" w:hAnsi="Georgia"/>
          <w:b/>
          <w:bCs/>
          <w:color w:val="1F3552"/>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The failure was a category error, not bad arithmetic: the plan treated an adaptive opponent as a fixed input. Rigor about one's own action is easily mistaken for rigor about the other side's reaction. The better audited the numbers, the more authority the error carried, because the bankers and economists who endorsed the model certified the snapshot, not the assumption that the snapshot would hold.</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structure appears wherever a quantified plan applies pressure to a system that can reorganize, as in sanctions models that assume trade cannot reroute, pricing strategies that assume competitors hold still, and security designs that assume attackers do not adapt. For any such forecast, the useful question is which of its numbers are actually choices the other side gets to remake, and what the plan looks like if the other side remakes all of them at once.</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Attrition arithmetic does work against systems that genuinely cannot adapt. The American submarine campaign against Japan in 1944–45 was nearly the same plan, and it succeeded because Japan lacked the escorts, the substitutes, and the allies to answer it. Tonnage models can hold, but only when the target's capacity to adapt has been measured as carefully as its tonnage.</w:t>
      </w:r>
    </w:p>
    <w:p>
      <w:pPr>
        <w:spacing w:after="220" w:line="300"/>
      </w:pPr>
      <w:r>
        <w:rPr>
          <w:rFonts w:ascii="Georgia" w:cs="Georgia" w:eastAsia="Georgia" w:hAnsi="Georgia"/>
          <w:b/>
          <w:bCs/>
          <w:sz w:val="22"/>
          <w:szCs w:val="22"/>
        </w:rPr>
        <w:t>Who this is most useful for:</w:t>
      </w:r>
      <w:r>
        <w:rPr>
          <w:rFonts w:ascii="Georgia" w:cs="Georgia" w:eastAsia="Georgia" w:hAnsi="Georgia"/>
          <w:sz w:val="22"/>
          <w:szCs w:val="22"/>
        </w:rPr>
        <w:t xml:space="preserve"> Anyone weighing a quantified case for an irreversible move. A polished model is evidence of effort, not of completeness. When a spreadsheet starts to function as permission for something leadership already wants to do, that is the moment to ask what it holds constant.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2026-08-30T19:10:11.656Z</dcterms:created>
  <dcterms:modified xsi:type="dcterms:W3CDTF">2026-08-30T19:10:11.656Z</dcterms:modified>
</cp:coreProperties>
</file>

<file path=docProps/custom.xml><?xml version="1.0" encoding="utf-8"?>
<Properties xmlns="http://schemas.openxmlformats.org/officeDocument/2006/custom-properties" xmlns:vt="http://schemas.openxmlformats.org/officeDocument/2006/docPropsVTypes"/>
</file>