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A1A1A"/>
          <w:sz w:val="52"/>
          <w:szCs w:val="52"/>
        </w:rPr>
        <w:t xml:space="preserve">The Canal Was Never Just About the Grain</w:t>
      </w:r>
    </w:p>
    <w:p>
      <w:pPr>
        <w:spacing w:after="120"/>
      </w:pPr>
      <w:r>
        <w:rPr>
          <w:rFonts w:ascii="Georgia" w:cs="Georgia" w:eastAsia="Georgia" w:hAnsi="Georgia"/>
          <w:i/>
          <w:iCs/>
          <w:color w:val="6B6B6B"/>
          <w:sz w:val="24"/>
          <w:szCs w:val="24"/>
        </w:rPr>
        <w:t>In 1826 the Qing empire proved it could feed Beijing by sea instead of by its failing Grand Canal, more cheaply and faster, on the first try. Then it shut the experiment down. Its reasons were better than they look, and the costs still came due.</w:t>
      </w:r>
    </w:p>
    <w:p>
      <w:pPr>
        <w:pBdr>
          <w:bottom w:val="single" w:color="8A3324" w:sz="6" w:space="4"/>
        </w:pBdr>
        <w:spacing w:after="280"/>
      </w:pPr>
      <w:r>
        <w:rPr>
          <w:rFonts w:ascii="Georgia" w:cs="Georgia" w:eastAsia="Georgia" w:hAnsi="Georgia"/>
          <w:color w:val="6B6B6B"/>
          <w:sz w:val="18"/>
          <w:szCs w:val="18"/>
        </w:rPr>
        <w:t xml:space="preserve">Learnings from History · September 3, 2026</w:t>
      </w:r>
    </w:p>
    <w:p>
      <w:pPr>
        <w:pStyle w:val="Heading2"/>
        <w:spacing w:after="160" w:before="340"/>
      </w:pPr>
      <w:r>
        <w:rPr>
          <w:rFonts w:ascii="Georgia" w:cs="Georgia" w:eastAsia="Georgia" w:hAnsi="Georgia"/>
          <w:b/>
          <w:bCs/>
          <w:color w:val="8A3324"/>
          <w:sz w:val="28"/>
          <w:szCs w:val="28"/>
        </w:rPr>
        <w:t xml:space="preserve">A storm broke the artery that fed the capital</w:t>
      </w:r>
    </w:p>
    <w:p>
      <w:pPr>
        <w:spacing w:after="160" w:line="300"/>
      </w:pPr>
      <w:r>
        <w:rPr>
          <w:rFonts w:ascii="Georgia" w:cs="Georgia" w:eastAsia="Georgia" w:hAnsi="Georgia"/>
          <w:color w:val="333333"/>
          <w:sz w:val="22"/>
          <w:szCs w:val="22"/>
        </w:rPr>
        <w:t>Every year the Qing state moved between three and four million shi of “tribute grain,” a tax paid in rice amounting to roughly 200,000–300,000 tons, from the Yangzi delta to Beijing. The grain traveled along the Grand Canal, a roughly 2,000-kilometer artificial waterway begun in the seventh century, and it fed the court, the capital bureaucracy, and the hereditary banner garrisons. The canal was also, in the historian Jane Kate Leonard’s words, “a metaphor for the imperial state.” Inside and outside government, its successful operation was read as a test of whether the dynasty still worked.</w:t>
      </w:r>
    </w:p>
    <w:p>
      <w:pPr>
        <w:spacing w:after="200"/>
      </w:pPr>
      <w:r>
        <w:rPr>
          <w:rFonts w:ascii="Georgia" w:cs="Georgia" w:eastAsia="Georgia" w:hAnsi="Georgia"/>
          <w:i/>
          <w:iCs/>
          <w:color w:val="6B6B6B"/>
          <w:sz w:val="17"/>
          <w:szCs w:val="17"/>
        </w:rPr>
        <w:t xml:space="preserve">Jane Kate Leonard, Controlling from Afar: The Daoguang Emperor’s Management of the Grand Canal Crisis, 1824–1826 (Univ. of Michigan, 1996); Ulrich Theobald, “caoyun — transport of tribute grain,” ChinaKnowledge.de.</w:t>
      </w:r>
    </w:p>
    <w:p>
      <w:pPr>
        <w:spacing w:after="160" w:line="300"/>
      </w:pPr>
      <w:r>
        <w:rPr>
          <w:rFonts w:ascii="Georgia" w:cs="Georgia" w:eastAsia="Georgia" w:hAnsi="Georgia"/>
          <w:color w:val="333333"/>
          <w:sz w:val="22"/>
          <w:szCs w:val="22"/>
        </w:rPr>
        <w:t xml:space="preserve">On November 11–12, 1824, an autumn storm tore two breaches in the Gaojia Great Dike, the wall holding back Hongze Lake in northern Jiangsu. Floodwater poured into the canal system, the crossing where canal met Yellow River became unworkable, and the grain fleet was stranded. The historian James Polachek judged this, apart from the Opium War, the greatest crisis of the Daoguang emperor’s thirty-year reign.</w:t>
      </w:r>
    </w:p>
    <w:p>
      <w:pPr>
        <w:spacing w:after="200"/>
      </w:pPr>
      <w:r>
        <w:rPr>
          <w:rFonts w:ascii="Georgia" w:cs="Georgia" w:eastAsia="Georgia" w:hAnsi="Georgia"/>
          <w:i/>
          <w:iCs/>
          <w:color w:val="6B6B6B"/>
          <w:sz w:val="17"/>
          <w:szCs w:val="17"/>
        </w:rPr>
        <w:t xml:space="preserve">Leonard 1996; James Polachek, The Inner Opium War (Harvard, 1992).</w:t>
      </w:r>
    </w:p>
    <w:p>
      <w:pPr>
        <w:spacing w:after="160" w:line="300"/>
      </w:pPr>
      <w:r>
        <w:rPr>
          <w:rFonts w:ascii="Georgia" w:cs="Georgia" w:eastAsia="Georgia" w:hAnsi="Georgia"/>
          <w:color w:val="333333"/>
          <w:sz w:val="22"/>
          <w:szCs w:val="22"/>
        </w:rPr>
        <w:t>Behind the storm sat a slower problem: silt. The canal had to cross the Yellow River, which carries more sediment than any other major river. Keeping that junction open required a sprawling system of dikes, sluices, and dredging. Its conservancy budget ran to millions of taels a year, among the largest items in the imperial budget, and historians of the period note that a substantial share leaked into official pockets. Leonard’s reconstruction argues that by the 1820s the hydraulics had become effectively unmanageable, so the best any emperor could buy was time.</w:t>
      </w:r>
    </w:p>
    <w:p>
      <w:pPr>
        <w:spacing w:after="200"/>
      </w:pPr>
      <w:r>
        <w:rPr>
          <w:rFonts w:ascii="Georgia" w:cs="Georgia" w:eastAsia="Georgia" w:hAnsi="Georgia"/>
          <w:i/>
          <w:iCs/>
          <w:color w:val="6B6B6B"/>
          <w:sz w:val="17"/>
          <w:szCs w:val="17"/>
        </w:rPr>
        <w:t xml:space="preserve">Leonard 1996; Polachek 1992.</w:t>
      </w:r>
    </w:p>
    <w:p>
      <w:pPr>
        <w:pStyle w:val="Heading2"/>
        <w:spacing w:after="160" w:before="340"/>
      </w:pPr>
      <w:r>
        <w:rPr>
          <w:rFonts w:ascii="Georgia" w:cs="Georgia" w:eastAsia="Georgia" w:hAnsi="Georgia"/>
          <w:b/>
          <w:bCs/>
          <w:color w:val="8A3324"/>
          <w:sz w:val="28"/>
          <w:szCs w:val="28"/>
        </w:rPr>
        <w:t xml:space="preserve">The experiment worked on the first try</w:t>
      </w:r>
    </w:p>
    <w:p>
      <w:pPr>
        <w:spacing w:after="160" w:line="300"/>
      </w:pPr>
      <w:r>
        <w:rPr>
          <w:rFonts w:ascii="Georgia" w:cs="Georgia" w:eastAsia="Georgia" w:hAnsi="Georgia"/>
          <w:color w:val="333333"/>
          <w:sz w:val="22"/>
          <w:szCs w:val="22"/>
        </w:rPr>
        <w:t>The obvious alternative was the sea. China had done this before. The Yuan dynasty shipped grain to the capital by sea for decades in the 1300s, peaking at 3.5 million shi a year, but the route had been closed since 1415. In 1825 a low-ranking scholar named Bao Shichen republished his “Proposal in Favor of the Sea Route for Southern Grain Tribute.” Critics said the state had no ocean fleet and pirates would take the grain. Bao answered that the fleet already existed: thousands of private junks carried Manchurian soybean-cake fertilizer down the same coast every year. (His biographer William Rowe calls Bao’s statistics “to say the least, cavalier,” but the core observation was sound. The ships were real.)</w:t>
      </w:r>
    </w:p>
    <w:p>
      <w:pPr>
        <w:spacing w:after="200"/>
      </w:pPr>
      <w:r>
        <w:rPr>
          <w:rFonts w:ascii="Georgia" w:cs="Georgia" w:eastAsia="Georgia" w:hAnsi="Georgia"/>
          <w:i/>
          <w:iCs/>
          <w:color w:val="6B6B6B"/>
          <w:sz w:val="17"/>
          <w:szCs w:val="17"/>
        </w:rPr>
        <w:t xml:space="preserve">William T. Rowe, Speaking of Profit: Bao Shichen and Reform in Nineteenth-Century China (Harvard Asia Center, 2018); Theobald, ChinaKnowledge.de.</w:t>
      </w:r>
    </w:p>
    <w:p>
      <w:pPr>
        <w:spacing w:after="160" w:line="300"/>
      </w:pPr>
      <w:r>
        <w:rPr>
          <w:rFonts w:ascii="Georgia" w:cs="Georgia" w:eastAsia="Georgia" w:hAnsi="Georgia"/>
          <w:color w:val="333333"/>
          <w:sz w:val="22"/>
          <w:szCs w:val="22"/>
        </w:rPr>
        <w:t>The emperor agreed to try it. Working with his fiscal adviser Yinghe and the governor-general Qishan, the court set up ad hoc bureaus in Shanghai and Tianjin, chartered the private junk fleet, and recruited merchants, brokers, dockside porters, and lighterage crews into a temporary supply chain. In 1826, 1.63 million shi of grain, well over 100,000 tons and roughly two-fifths of the annual quota, sailed from Shanghai to Tianjin. It arrived intact, faster than the canal could move it, and, by the reckoning of the officials who ran it, more cheaply.</w:t>
      </w:r>
    </w:p>
    <w:p>
      <w:pPr>
        <w:spacing w:after="200"/>
      </w:pPr>
      <w:r>
        <w:rPr>
          <w:rFonts w:ascii="Georgia" w:cs="Georgia" w:eastAsia="Georgia" w:hAnsi="Georgia"/>
          <w:i/>
          <w:iCs/>
          <w:color w:val="6B6B6B"/>
          <w:sz w:val="17"/>
          <w:szCs w:val="17"/>
        </w:rPr>
        <w:t xml:space="preserve">Leonard, Stretching the Qing Bureaucracy in the 1826 Sea-Transport Experiment (Brill, 2019).</w:t>
      </w:r>
    </w:p>
    <w:p>
      <w:pPr>
        <w:spacing w:after="160" w:line="300"/>
      </w:pPr>
      <w:r>
        <w:rPr>
          <w:rFonts w:ascii="Georgia" w:cs="Georgia" w:eastAsia="Georgia" w:hAnsi="Georgia"/>
          <w:color w:val="333333"/>
          <w:sz w:val="22"/>
          <w:szCs w:val="22"/>
        </w:rPr>
        <w:t>Here the scholarly record corrects the popular one. The stock image of the late Qing is a hidebound state constitutionally unable to innovate. Leonard’s two studies of the operation show a bureaucracy that improvised competently and fast, under an emperor personally managing the crisis from 1,000 kilometers away. The Qing state could innovate. It then chose not to keep the innovation, and that choice, rather than any incapacity, is what needs explaining.</w:t>
      </w:r>
    </w:p>
    <w:p>
      <w:pPr>
        <w:spacing w:after="200"/>
      </w:pPr>
      <w:r>
        <w:rPr>
          <w:rFonts w:ascii="Georgia" w:cs="Georgia" w:eastAsia="Georgia" w:hAnsi="Georgia"/>
          <w:i/>
          <w:iCs/>
          <w:color w:val="6B6B6B"/>
          <w:sz w:val="17"/>
          <w:szCs w:val="17"/>
        </w:rPr>
        <w:t xml:space="preserve">Leonard 1996, 2019.</w:t>
      </w:r>
    </w:p>
    <w:p>
      <w:pPr>
        <w:pStyle w:val="Heading2"/>
        <w:spacing w:after="160" w:before="340"/>
      </w:pPr>
      <w:r>
        <w:rPr>
          <w:rFonts w:ascii="Georgia" w:cs="Georgia" w:eastAsia="Georgia" w:hAnsi="Georgia"/>
          <w:b/>
          <w:bCs/>
          <w:color w:val="8A3324"/>
          <w:sz w:val="28"/>
          <w:szCs w:val="28"/>
        </w:rPr>
        <w:t xml:space="preserve">Why the winner was sent home</w:t>
      </w:r>
    </w:p>
    <w:p>
      <w:pPr>
        <w:spacing w:after="160" w:line="300"/>
      </w:pPr>
      <w:r>
        <w:rPr>
          <w:rFonts w:ascii="Georgia" w:cs="Georgia" w:eastAsia="Georgia" w:hAnsi="Georgia"/>
          <w:color w:val="333333"/>
          <w:sz w:val="22"/>
          <w:szCs w:val="22"/>
        </w:rPr>
        <w:t>In 1827, with the dike repaired, the grain went back to the canal and the sea route was shelved. The reason lies in what the canal did besides move rice. The state grain fleet numbered over 10,000 flat-bottomed boats on paper, roughly 7,000 in service, crewed by soldiers and tens of thousands of hired boatmen. Far more people lived off the traffic: trackers, porters, dockworkers, provisioners. Above them sat two of the empire’s great bureaucracies, grain transport and river conservancy, dense with posts, fees, and patronage. Sea transport made all of it redundant. The men it would have idled were precisely the rootless, organized laborers officials feared would drift into the secret societies that periodically erupted into rebellion. That fear was a reasonable forecast, not paranoia.</w:t>
      </w:r>
    </w:p>
    <w:p>
      <w:pPr>
        <w:spacing w:after="200"/>
      </w:pPr>
      <w:r>
        <w:rPr>
          <w:rFonts w:ascii="Georgia" w:cs="Georgia" w:eastAsia="Georgia" w:hAnsi="Georgia"/>
          <w:i/>
          <w:iCs/>
          <w:color w:val="6B6B6B"/>
          <w:sz w:val="17"/>
          <w:szCs w:val="17"/>
        </w:rPr>
        <w:t xml:space="preserve">Theobald, ChinaKnowledge.de; Leonard 1996.</w:t>
      </w:r>
    </w:p>
    <w:p>
      <w:pPr>
        <w:spacing w:after="160" w:line="300"/>
      </w:pPr>
      <w:r>
        <w:rPr>
          <w:rFonts w:ascii="Georgia" w:cs="Georgia" w:eastAsia="Georgia" w:hAnsi="Georgia"/>
          <w:color w:val="333333"/>
          <w:sz w:val="22"/>
          <w:szCs w:val="22"/>
        </w:rPr>
        <w:t>There were other reasonable objections. The sea route made the capital’s food supply depend on private merchants the state did not command, exposed to typhoons and piracy, and 1826’s one good season was thin evidence for betting the dynasty’s lifeline on it. Abandoning the canal would also have announced that the dynasty could no longer maintain the work that symbolized its rule. The decision did not save money. The canal was the expensive option, and the court knew it. Daoguang knowingly paid extra to keep an employment system, a patronage system, and a symbol intact. A ruler whose first duty was order, in his position, might well have done the same.</w:t>
      </w:r>
    </w:p>
    <w:p>
      <w:pPr>
        <w:spacing w:after="200"/>
      </w:pPr>
      <w:r>
        <w:rPr>
          <w:rFonts w:ascii="Georgia" w:cs="Georgia" w:eastAsia="Georgia" w:hAnsi="Georgia"/>
          <w:i/>
          <w:iCs/>
          <w:color w:val="6B6B6B"/>
          <w:sz w:val="17"/>
          <w:szCs w:val="17"/>
        </w:rPr>
        <w:t xml:space="preserve">Leonard 1996; Rowe 2018. The weighting of motives — vested interests versus stability versus symbolism — is interpretive; the reversion itself and its stated grounds are documented.</w:t>
      </w:r>
    </w:p>
    <w:p>
      <w:pPr>
        <w:pStyle w:val="Heading2"/>
        <w:spacing w:after="160" w:before="340"/>
      </w:pPr>
      <w:r>
        <w:rPr>
          <w:rFonts w:ascii="Georgia" w:cs="Georgia" w:eastAsia="Georgia" w:hAnsi="Georgia"/>
          <w:b/>
          <w:bCs/>
          <w:color w:val="8A3324"/>
          <w:sz w:val="28"/>
          <w:szCs w:val="28"/>
        </w:rPr>
        <w:t>The canal’s decline and end, 1827–1901</w:t>
      </w:r>
    </w:p>
    <w:p>
      <w:pPr>
        <w:spacing w:after="160" w:line="300"/>
      </w:pPr>
      <w:r>
        <w:rPr>
          <w:rFonts w:ascii="Georgia" w:cs="Georgia" w:eastAsia="Georgia" w:hAnsi="Georgia"/>
          <w:color w:val="333333"/>
          <w:sz w:val="22"/>
          <w:szCs w:val="22"/>
        </w:rPr>
        <w:t>The canal kept decaying, and the conservancy budget kept flowing for another two decades. By the late 1840s Beijing was quietly sending part of Jiangsu’s grain by sea again. The Taiping Rebellion (1851–64) then cut the lower canal, and in 1855 the Yellow River shifted its course north, severing the canal in Shandong and settling the argument physically. The boatmen were let go after all, with no plan, in the middle of a civil war. Displaced canal workers fed the Nian rebellion and the secret societies, exactly as feared in 1826. A 2022 statistical study by the economists Yiming Cao and Shuo Chen finds that counties along the canal saw a sharp and lasting rise in rebellion once the grain traffic left it. The tribute-grain system was formally wound up in 1901.</w:t>
      </w:r>
    </w:p>
    <w:p>
      <w:pPr>
        <w:spacing w:after="200"/>
      </w:pPr>
      <w:r>
        <w:rPr>
          <w:rFonts w:ascii="Georgia" w:cs="Georgia" w:eastAsia="Georgia" w:hAnsi="Georgia"/>
          <w:i/>
          <w:iCs/>
          <w:color w:val="6B6B6B"/>
          <w:sz w:val="17"/>
          <w:szCs w:val="17"/>
        </w:rPr>
        <w:t xml:space="preserve">Cao and Chen, “Rebel on the Canal: Disrupted Trade Access and Social Conflict in China, 1650–1911,” American Economic Review (2022); Theobald, ChinaKnowledge.de.</w:t>
      </w:r>
    </w:p>
    <w:p>
      <w:pPr>
        <w:spacing w:after="160" w:line="300"/>
      </w:pPr>
      <w:r>
        <w:rPr>
          <w:rFonts w:ascii="Georgia" w:cs="Georgia" w:eastAsia="Georgia" w:hAnsi="Georgia"/>
          <w:color w:val="333333"/>
          <w:sz w:val="22"/>
          <w:szCs w:val="22"/>
        </w:rPr>
        <w:t>The Qing ended up with the worst available combination. They paid canal prices for another quarter century and then absorbed the unrest the payments were meant to prevent, at their moment of greatest weakness rather than a moment of their choosing. The 1826 experiment had shown what a managed transition could look like. What was never built was a successor for the canal’s other jobs: redeployment for the boatmen, a substitute for the patronage, a new symbol. The pilot solved the stated problem, freight, and was shelved because freight was never really the problem.</w:t>
      </w:r>
    </w:p>
    <w:p>
      <w:pPr>
        <w:pStyle w:val="Heading2"/>
        <w:spacing w:after="160" w:before="340"/>
      </w:pPr>
      <w:r>
        <w:rPr>
          <w:rFonts w:ascii="Georgia" w:cs="Georgia" w:eastAsia="Georgia" w:hAnsi="Georgia"/>
          <w:b/>
          <w:bCs/>
          <w:color w:val="8A3324"/>
          <w:sz w:val="28"/>
          <w:szCs w:val="28"/>
        </w:rPr>
        <w:t xml:space="preserve">Takeaways</w:t>
      </w:r>
    </w:p>
    <w:p>
      <w:pPr>
        <w:spacing w:after="160" w:line="300"/>
      </w:pPr>
      <w:r>
        <w:rPr>
          <w:rFonts w:ascii="Georgia" w:cs="Georgia" w:eastAsia="Georgia" w:hAnsi="Georgia"/>
          <w:b/>
          <w:bCs/>
          <w:color w:val="333333"/>
          <w:sz w:val="22"/>
          <w:szCs w:val="22"/>
        </w:rPr>
        <w:t>Why this matters:</w:t>
      </w:r>
      <w:r>
        <w:rPr>
          <w:rFonts w:ascii="Georgia" w:cs="Georgia" w:eastAsia="Georgia" w:hAnsi="Georgia"/>
          <w:color w:val="333333"/>
          <w:sz w:val="22"/>
          <w:szCs w:val="22"/>
        </w:rPr>
        <w:t xml:space="preserve"> When a system’s inefficiency supports a large constituency, the cost of leaving it is visible and countable (these boats, these men, these posts), while the cost of staying accrues quietly, year by year. The Qing counted the first and not the second. Refusing to manage a transition does not prevent it. In the Qing case the transition came anyway, unmanaged, at a time the court did not choose.</w:t>
      </w:r>
    </w:p>
    <w:p>
      <w:pPr>
        <w:spacing w:after="160" w:line="300"/>
      </w:pPr>
      <w:r>
        <w:rPr>
          <w:rFonts w:ascii="Georgia" w:cs="Georgia" w:eastAsia="Georgia" w:hAnsi="Georgia"/>
          <w:b/>
          <w:bCs/>
          <w:color w:val="333333"/>
          <w:sz w:val="22"/>
          <w:szCs w:val="22"/>
        </w:rPr>
        <w:t>What this means today:</w:t>
      </w:r>
      <w:r>
        <w:rPr>
          <w:rFonts w:ascii="Georgia" w:cs="Georgia" w:eastAsia="Georgia" w:hAnsi="Georgia"/>
          <w:color w:val="333333"/>
          <w:sz w:val="22"/>
          <w:szCs w:val="22"/>
        </w:rPr>
        <w:t xml:space="preserve"> The pattern recurs wherever a legacy system is also an employment and legitimacy program, such as a mill town’s mill, a garrison town’s base, or a company’s aging flagship product. One warning sign is a successful pilot that gets quietly shelved, because the pilot solved the official problem and nobody had priced the unofficial ones. A realistic fix in 1826 would have needed more than junks. It would have needed pensions, redeployment, and something else for the canal to mean.</w:t>
      </w:r>
    </w:p>
    <w:p>
      <w:pPr>
        <w:spacing w:after="160" w:line="300"/>
      </w:pPr>
      <w:r>
        <w:rPr>
          <w:rFonts w:ascii="Georgia" w:cs="Georgia" w:eastAsia="Georgia" w:hAnsi="Georgia"/>
          <w:b/>
          <w:bCs/>
          <w:color w:val="333333"/>
          <w:sz w:val="22"/>
          <w:szCs w:val="22"/>
        </w:rPr>
        <w:t>Where the lesson runs out:</w:t>
      </w:r>
      <w:r>
        <w:rPr>
          <w:rFonts w:ascii="Georgia" w:cs="Georgia" w:eastAsia="Georgia" w:hAnsi="Georgia"/>
          <w:color w:val="333333"/>
          <w:sz w:val="22"/>
          <w:szCs w:val="22"/>
        </w:rPr>
        <w:t xml:space="preserve"> The lesson applies because the canal was terminally declining. The silt made failure a matter of time, so the choice was between a managed exit and an unmanaged one. Where a legacy system can be maintained indefinitely at a known price, paying that price for social peace can be a legitimate permanent bargain rather than a mistake. One calm season was also genuinely thin evidence, and some hesitation about scaling the sea route was warranted on logistics alone.</w:t>
      </w:r>
    </w:p>
    <w:sectPr>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2026-09-03T19:12:27.114Z</dcterms:created>
  <dcterms:modified xsi:type="dcterms:W3CDTF">2026-09-03T19:12:27.114Z</dcterms:modified>
</cp:coreProperties>
</file>

<file path=docProps/custom.xml><?xml version="1.0" encoding="utf-8"?>
<Properties xmlns="http://schemas.openxmlformats.org/officeDocument/2006/custom-properties" xmlns:vt="http://schemas.openxmlformats.org/officeDocument/2006/docPropsVTypes"/>
</file>