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7293D"/>
          <w:sz w:val="40"/>
          <w:szCs w:val="40"/>
        </w:rPr>
        <w:t xml:space="preserve">The Famine Relief That Worked Became History's Favorite Welfare Failure</w:t>
      </w:r>
    </w:p>
    <w:p>
      <w:pPr>
        <w:spacing w:after="80"/>
      </w:pPr>
      <w:r>
        <w:rPr>
          <w:rFonts w:ascii="Georgia" w:cs="Georgia" w:eastAsia="Georgia" w:hAnsi="Georgia"/>
          <w:color w:val="888888"/>
          <w:sz w:val="19"/>
          <w:szCs w:val="19"/>
        </w:rPr>
        <w:t xml:space="preserve">Learnings from History · September 21, 2026</w:t>
      </w:r>
    </w:p>
    <w:p>
      <w:pPr>
        <w:pBdr>
          <w:bottom w:val="single" w:color="BBBBBB" w:sz="6" w:space="4"/>
        </w:pBdr>
        <w:spacing w:after="320"/>
      </w:pPr>
      <w:r>
        <w:rPr>
          <w:rFonts w:ascii="Georgia" w:cs="Georgia" w:eastAsia="Georgia" w:hAnsi="Georgia"/>
          <w:sz w:val="23"/>
          <w:szCs w:val="23"/>
        </w:rPr>
        <w:t xml:space="preserve"/>
      </w:r>
    </w:p>
    <w:p>
      <w:pPr>
        <w:spacing w:after="200" w:line="300"/>
      </w:pPr>
      <w:r>
        <w:rPr>
          <w:rFonts w:ascii="Georgia" w:cs="Georgia" w:eastAsia="Georgia" w:hAnsi="Georgia"/>
          <w:sz w:val="23"/>
          <w:szCs w:val="23"/>
        </w:rPr>
        <w:t>In May 1795, a group of English county magistrates met at an inn to decide how to keep farm laborers alive through a wartime price shock. Forty years later the relief formula they adopted became the most cited cautionary tale in the history of welfare. It was blamed for pauperizing a generation and was still being invoked in American policy fights in the 1970s and 1990s. When economic historians finally checked the evidence, the cautionary tale mostly fell apart, and the decision itself holds up better than its reputation ever has.</w:t>
      </w:r>
    </w:p>
    <w:p>
      <w:pPr>
        <w:pStyle w:val="Heading1"/>
        <w:spacing w:after="200" w:before="360"/>
      </w:pPr>
      <w:r>
        <w:rPr>
          <w:rFonts w:ascii="Georgia" w:cs="Georgia" w:eastAsia="Georgia" w:hAnsi="Georgia"/>
          <w:b/>
          <w:bCs/>
          <w:color w:val="1F3550"/>
          <w:sz w:val="30"/>
          <w:szCs w:val="30"/>
        </w:rPr>
        <w:t xml:space="preserve">Two Bad Options and a Meeting at an Inn</w:t>
      </w:r>
    </w:p>
    <w:p>
      <w:pPr>
        <w:spacing w:after="200" w:line="300"/>
      </w:pPr>
      <w:r>
        <w:rPr>
          <w:rFonts w:ascii="Georgia" w:cs="Georgia" w:eastAsia="Georgia" w:hAnsi="Georgia"/>
          <w:sz w:val="23"/>
          <w:szCs w:val="23"/>
        </w:rPr>
        <w:t xml:space="preserve">By the spring of 1795, rural southern England was in trouble. Britain had been at war with revolutionary France since 1793, the 1794 harvest had failed, and the price of wheat had risen by roughly half in a year and was still climbing. Food riots were breaking out across the country. Every magistrate in England also knew that France had just had a revolution in which the price of bread played no small part.</w:t>
      </w:r>
    </w:p>
    <w:p>
      <w:pPr>
        <w:spacing w:after="260"/>
      </w:pPr>
      <w:r>
        <w:rPr>
          <w:rFonts w:ascii="Georgia" w:cs="Georgia" w:eastAsia="Georgia" w:hAnsi="Georgia"/>
          <w:i/>
          <w:iCs/>
          <w:color w:val="666666"/>
          <w:sz w:val="18"/>
          <w:szCs w:val="18"/>
        </w:rPr>
        <w:t xml:space="preserve">Sources: Roger Wells, Wretched Faces: Famine in Wartime England, 1793–1801 (1988); Mark Blaug, "The Myth of the Old Poor Law and the Making of the New," Journal of Economic History (1963).</w:t>
      </w:r>
    </w:p>
    <w:p>
      <w:pPr>
        <w:spacing w:after="200" w:line="300"/>
      </w:pPr>
      <w:r>
        <w:rPr>
          <w:rFonts w:ascii="Georgia" w:cs="Georgia" w:eastAsia="Georgia" w:hAnsi="Georgia"/>
          <w:sz w:val="23"/>
          <w:szCs w:val="23"/>
        </w:rPr>
        <w:t>On May 6, 1795, the Berkshire magistrates met at the Pelican Inn in Speenhamland, near Newbury. The meeting had been advertised as a session to fix a minimum wage for farm labor, a power justices held under Elizabethan statute. They considered that option and rejected it, for reasons that were sensible on their face. A fixed wage could not track prices that were moving month to month. A uniform wage ignored family size, paying a single man the same as a father of five. And enforcing it meant prosecuting the same farmers who ran the parishes and paid the taxes. Parliament reached the same conclusion at national scale when Samuel Whitbread's minimum-wage bill was defeated in the Commons soon after, with Prime Minister Pitt speaking against it.</w:t>
      </w:r>
    </w:p>
    <w:p>
      <w:pPr>
        <w:spacing w:after="260"/>
      </w:pPr>
      <w:r>
        <w:rPr>
          <w:rFonts w:ascii="Georgia" w:cs="Georgia" w:eastAsia="Georgia" w:hAnsi="Georgia"/>
          <w:i/>
          <w:iCs/>
          <w:color w:val="666666"/>
          <w:sz w:val="18"/>
          <w:szCs w:val="18"/>
        </w:rPr>
        <w:t xml:space="preserve">Sources: the Reading Mercury meeting notice and Berkshire quarter sessions records, as discussed in J. L. and Barbara Hammond, The Village Labourer (1911), and in Blaug (1963).</w:t>
      </w:r>
    </w:p>
    <w:p>
      <w:pPr>
        <w:spacing w:after="200" w:line="300"/>
      </w:pPr>
      <w:r>
        <w:rPr>
          <w:rFonts w:ascii="Georgia" w:cs="Georgia" w:eastAsia="Georgia" w:hAnsi="Georgia"/>
          <w:sz w:val="23"/>
          <w:szCs w:val="23"/>
        </w:rPr>
        <w:t>Instead they adopted a sliding scale pegged to the price of bread. When the gallon loaf cost one shilling, every poor family was to be assured a weekly income of three shillings for the man plus one shilling sixpence for each dependent, with the scale rising as bread rose. If a laborer's wages fell short of the line, the parish poor rates made up the difference. The practice itself was old, since parishes had been topping up wages under the Poor Law of 1601 for generations. What Speenhamland added was a published formula. Other counties copied it, and the name stuck to the whole practice as it spread across the arable south and east.</w:t>
      </w:r>
    </w:p>
    <w:p>
      <w:pPr>
        <w:spacing w:after="260"/>
      </w:pPr>
      <w:r>
        <w:rPr>
          <w:rFonts w:ascii="Georgia" w:cs="Georgia" w:eastAsia="Georgia" w:hAnsi="Georgia"/>
          <w:i/>
          <w:iCs/>
          <w:color w:val="666666"/>
          <w:sz w:val="18"/>
          <w:szCs w:val="18"/>
        </w:rPr>
        <w:t xml:space="preserve">Sources: the Speenhamland scale as recorded in the Berkshire sessions order of May 6, 1795; George Boyer, An Economic History of the English Poor Law, 1750–1850 (1990).</w:t>
      </w:r>
    </w:p>
    <w:p>
      <w:pPr>
        <w:pStyle w:val="Heading1"/>
        <w:spacing w:after="200" w:before="360"/>
      </w:pPr>
      <w:r>
        <w:rPr>
          <w:rFonts w:ascii="Georgia" w:cs="Georgia" w:eastAsia="Georgia" w:hAnsi="Georgia"/>
          <w:b/>
          <w:bCs/>
          <w:color w:val="1F3550"/>
          <w:sz w:val="30"/>
          <w:szCs w:val="30"/>
        </w:rPr>
        <w:t>Famine Prevention and the Rising Bill</w:t>
      </w:r>
    </w:p>
    <w:p>
      <w:pPr>
        <w:spacing w:after="200" w:line="300"/>
      </w:pPr>
      <w:r>
        <w:rPr>
          <w:rFonts w:ascii="Georgia" w:cs="Georgia" w:eastAsia="Georgia" w:hAnsi="Georgia"/>
          <w:sz w:val="23"/>
          <w:szCs w:val="23"/>
        </w:rPr>
        <w:t>The job was famine prevention, and it was accomplished. England came through 1795–96, and the worse scarcity of 1799–1801, without mass starvation, at a time when dearth was killing people elsewhere in Europe. Roger Wells, in the fullest modern study of these crisis years, credits the relief system as central to why shortage did not become famine in England. The magistrates had set out to secure exactly that outcome, and they got it.</w:t>
      </w:r>
    </w:p>
    <w:p>
      <w:pPr>
        <w:spacing w:after="260"/>
      </w:pPr>
      <w:r>
        <w:rPr>
          <w:rFonts w:ascii="Georgia" w:cs="Georgia" w:eastAsia="Georgia" w:hAnsi="Georgia"/>
          <w:i/>
          <w:iCs/>
          <w:color w:val="666666"/>
          <w:sz w:val="18"/>
          <w:szCs w:val="18"/>
        </w:rPr>
        <w:t xml:space="preserve">Source: Wells, Wretched Faces (1988).</w:t>
      </w:r>
    </w:p>
    <w:p>
      <w:pPr>
        <w:spacing w:after="200" w:line="300"/>
      </w:pPr>
      <w:r>
        <w:rPr>
          <w:rFonts w:ascii="Georgia" w:cs="Georgia" w:eastAsia="Georgia" w:hAnsi="Georgia"/>
          <w:sz w:val="23"/>
          <w:szCs w:val="23"/>
        </w:rPr>
        <w:t>The cost, however, kept growing. National poor relief spending rose from roughly £2 million a year in the mid-1780s to nearly £8 million by 1818, and the ratepayers footing the bill grew furious. Thomas Malthus supplied the theory in his 1798 Essay on the Principle of Population. Relief scaled to family size, he argued, encouraged the poor to have children they could not support, breeding the very poverty it relieved. In the Captain Swing riots of 1830, rural laborers burned ricks and broke threshing machines across the same southern counties, and the riots sealed the impression that the system had produced a degraded, dangerous class. By the early 1830s the educated consensus held that the allowance system caused idleness, population growth, and low wages.</w:t>
      </w:r>
    </w:p>
    <w:p>
      <w:pPr>
        <w:spacing w:after="260"/>
      </w:pPr>
      <w:r>
        <w:rPr>
          <w:rFonts w:ascii="Georgia" w:cs="Georgia" w:eastAsia="Georgia" w:hAnsi="Georgia"/>
          <w:i/>
          <w:iCs/>
          <w:color w:val="666666"/>
          <w:sz w:val="18"/>
          <w:szCs w:val="18"/>
        </w:rPr>
        <w:t xml:space="preserve">Sources: official poor-rate returns as compiled in Blaug (1963); T. R. Malthus, An Essay on the Principle of Population (1798).</w:t>
      </w:r>
    </w:p>
    <w:p>
      <w:pPr>
        <w:pStyle w:val="Heading1"/>
        <w:spacing w:after="200" w:before="360"/>
      </w:pPr>
      <w:r>
        <w:rPr>
          <w:rFonts w:ascii="Georgia" w:cs="Georgia" w:eastAsia="Georgia" w:hAnsi="Georgia"/>
          <w:b/>
          <w:bCs/>
          <w:color w:val="1F3550"/>
          <w:sz w:val="30"/>
          <w:szCs w:val="30"/>
        </w:rPr>
        <w:t>The 1834 Report and Its Afterlife</w:t>
      </w:r>
    </w:p>
    <w:p>
      <w:pPr>
        <w:spacing w:after="200" w:line="300"/>
      </w:pPr>
      <w:r>
        <w:rPr>
          <w:rFonts w:ascii="Georgia" w:cs="Georgia" w:eastAsia="Georgia" w:hAnsi="Georgia"/>
          <w:sz w:val="23"/>
          <w:szCs w:val="23"/>
        </w:rPr>
        <w:t>In 1832 a Royal Commission was appointed to investigate the Poor Laws. Its 1834 report was drafted largely by Nassau Senior and Edwin Chadwick, both committed opponents of the allowance system before the inquiry began. The commission sent questionnaires to parishes, but only around one in ten answered, the sample was self-selected, and the returns were never systematically tabulated. The report leaned instead on vivid anecdotes chosen by its own investigators. Mark Blaug, re-examining it in 1963, called the report "wildly unstatistical." It was effective all the same. The Poor Law Amendment Act of 1834 abolished outdoor relief in principle, herded the able-bodied poor into workhouses deliberately made grimmer than the worst independent labor, and installed Speenhamland as the founding parable of welfare policy, taken as proof that supplementing wages breeds paupers.</w:t>
      </w:r>
    </w:p>
    <w:p>
      <w:pPr>
        <w:spacing w:after="260"/>
      </w:pPr>
      <w:r>
        <w:rPr>
          <w:rFonts w:ascii="Georgia" w:cs="Georgia" w:eastAsia="Georgia" w:hAnsi="Georgia"/>
          <w:i/>
          <w:iCs/>
          <w:color w:val="666666"/>
          <w:sz w:val="18"/>
          <w:szCs w:val="18"/>
        </w:rPr>
        <w:t xml:space="preserve">Sources: Report of the Royal Commission on the Poor Laws (1834); Blaug, "The Myth of the Old Poor Law" (1963).</w:t>
      </w:r>
    </w:p>
    <w:p>
      <w:pPr>
        <w:spacing w:after="200" w:line="300"/>
      </w:pPr>
      <w:r>
        <w:rPr>
          <w:rFonts w:ascii="Georgia" w:cs="Georgia" w:eastAsia="Georgia" w:hAnsi="Georgia"/>
          <w:sz w:val="23"/>
          <w:szCs w:val="23"/>
        </w:rPr>
        <w:t>The parable then had a remarkable second life. Karl Polanyi's The Great Transformation (1944) retold Speenhamland as the episode that degraded English labor and blocked a functioning labor market, and Polanyi's version, drawn from the 1834 report's picture, became standard reading across the social sciences. Fred Block and Margaret Somers have documented what happened next. When Richard Nixon proposed the Family Assistance Plan, a guaranteed income for poor families, around 1970, the Speenhamland story was raised inside the administration and in the Senate as historical proof that income guarantees destroy the will to work. The plan died. The same story resurfaced in the American welfare-reform debates of the 1990s. A reading of the evidence written in 1834 by two men who had their conclusion in hand was still shaping legislation 160 years later.</w:t>
      </w:r>
    </w:p>
    <w:p>
      <w:pPr>
        <w:spacing w:after="260"/>
      </w:pPr>
      <w:r>
        <w:rPr>
          <w:rFonts w:ascii="Georgia" w:cs="Georgia" w:eastAsia="Georgia" w:hAnsi="Georgia"/>
          <w:i/>
          <w:iCs/>
          <w:color w:val="666666"/>
          <w:sz w:val="18"/>
          <w:szCs w:val="18"/>
        </w:rPr>
        <w:t xml:space="preserve">Sources: Karl Polanyi, The Great Transformation (1944); Fred Block and Margaret Somers, "In the Shadow of Speenhamland," Politics &amp; Society (2003).</w:t>
      </w:r>
    </w:p>
    <w:p>
      <w:pPr>
        <w:pStyle w:val="Heading1"/>
        <w:spacing w:after="200" w:before="360"/>
      </w:pPr>
      <w:r>
        <w:rPr>
          <w:rFonts w:ascii="Georgia" w:cs="Georgia" w:eastAsia="Georgia" w:hAnsi="Georgia"/>
          <w:b/>
          <w:bCs/>
          <w:color w:val="1F3550"/>
          <w:sz w:val="30"/>
          <w:szCs w:val="30"/>
        </w:rPr>
        <w:t xml:space="preserve">When Historians Finally Counted</w:t>
      </w:r>
    </w:p>
    <w:p>
      <w:pPr>
        <w:spacing w:after="200" w:line="300"/>
      </w:pPr>
      <w:r>
        <w:rPr>
          <w:rFonts w:ascii="Georgia" w:cs="Georgia" w:eastAsia="Georgia" w:hAnsi="Georgia"/>
          <w:sz w:val="23"/>
          <w:szCs w:val="23"/>
        </w:rPr>
        <w:t>The scholarly reversal began with Blaug in the early 1960s and was consolidated by George Boyer in 1990. Counties that used allowances did not show systematically lower wages or faster population growth than counties that did not. Relief spending tracked seasonal underemployment in the grain-growing southeast, and the causation ran the other way from the parable: low, irregular wages created the need for allowances, rather than allowances dragging down wages. Boyer's reconstruction shows the system functioning as a crude form of unemployment insurance, used by the farmers who dominated parish vestries to keep a labor force available through the winter at shared expense. By the mid-1820s many parishes had already abandoned the bread scales on their own, so much of what the 1834 Act triumphantly abolished was partly gone before the commissioners arrived.</w:t>
      </w:r>
    </w:p>
    <w:p>
      <w:pPr>
        <w:spacing w:after="260"/>
      </w:pPr>
      <w:r>
        <w:rPr>
          <w:rFonts w:ascii="Georgia" w:cs="Georgia" w:eastAsia="Georgia" w:hAnsi="Georgia"/>
          <w:i/>
          <w:iCs/>
          <w:color w:val="666666"/>
          <w:sz w:val="18"/>
          <w:szCs w:val="18"/>
        </w:rPr>
        <w:t xml:space="preserve">Sources: Blaug (1963, 1964); Boyer, An Economic History of the English Poor Law (1990).</w:t>
      </w:r>
    </w:p>
    <w:p>
      <w:pPr>
        <w:spacing w:after="200" w:line="300"/>
      </w:pPr>
      <w:r>
        <w:rPr>
          <w:rFonts w:ascii="Georgia" w:cs="Georgia" w:eastAsia="Georgia" w:hAnsi="Georgia"/>
          <w:sz w:val="23"/>
          <w:szCs w:val="23"/>
        </w:rPr>
        <w:t>The Old Poor Law was not flawless. The cost surge was real, and historians still debate incentive effects at the margins, including whether child allowances modestly raised birth rates. But the central charges, namely that the relief caused the poverty, the low wages, and the population growth, did not survive contact with the data. The evidence sorts cleanly into what is established, what is interpretation, and what is disputed. The 1795 decision and its terms are documentary fact. That relief helped England avoid famine is the well-supported judgment of the specialist literature. The size of the marginal incentive effects remains contested. The old story of Speenhamland as a machine that manufactured paupers is none of the three.</w:t>
      </w:r>
    </w:p>
    <w:p>
      <w:pPr>
        <w:pStyle w:val="Heading1"/>
        <w:spacing w:after="200" w:before="360"/>
      </w:pPr>
      <w:r>
        <w:rPr>
          <w:rFonts w:ascii="Georgia" w:cs="Georgia" w:eastAsia="Georgia" w:hAnsi="Georgia"/>
          <w:b/>
          <w:bCs/>
          <w:color w:val="1F3550"/>
          <w:sz w:val="30"/>
          <w:szCs w:val="30"/>
        </w:rPr>
        <w:t xml:space="preserve">Takeaways</w:t>
      </w:r>
    </w:p>
    <w:p>
      <w:pPr>
        <w:spacing w:after="200" w:line="300"/>
      </w:pPr>
      <w:r>
        <w:rPr>
          <w:rFonts w:ascii="Georgia" w:cs="Georgia" w:eastAsia="Georgia" w:hAnsi="Georgia"/>
          <w:b/>
          <w:bCs/>
          <w:sz w:val="23"/>
          <w:szCs w:val="23"/>
        </w:rPr>
        <w:t>Why this matters:</w:t>
      </w:r>
      <w:r>
        <w:rPr>
          <w:rFonts w:ascii="Georgia" w:cs="Georgia" w:eastAsia="Georgia" w:hAnsi="Georgia"/>
          <w:sz w:val="23"/>
          <w:szCs w:val="23"/>
        </w:rPr>
        <w:t xml:space="preserve"> The magistrates faced a real emergency with two live options, chose the more flexible one for stated reasons that still read as sensible, and achieved the outcome they were aiming for. The failure with consequences came later. An official inquiry wrote its verdict before gathering evidence, and in the two centuries that followed, welfare policy on two continents was steered by a parable instead of a finding. Hindsight misjudged the decision and then drew from it a lesson the record does not support.</w:t>
      </w:r>
    </w:p>
    <w:p>
      <w:pPr>
        <w:spacing w:after="200" w:line="300"/>
      </w:pPr>
      <w:r>
        <w:rPr>
          <w:rFonts w:ascii="Georgia" w:cs="Georgia" w:eastAsia="Georgia" w:hAnsi="Georgia"/>
          <w:b/>
          <w:bCs/>
          <w:sz w:val="23"/>
          <w:szCs w:val="23"/>
        </w:rPr>
        <w:t>What this means today:</w:t>
      </w:r>
      <w:r>
        <w:rPr>
          <w:rFonts w:ascii="Georgia" w:cs="Georgia" w:eastAsia="Georgia" w:hAnsi="Georgia"/>
          <w:sz w:val="23"/>
          <w:szCs w:val="23"/>
        </w:rPr>
        <w:t xml:space="preserve"> Policy arguments still lean on canonical episodes, such as Speenhamland against guaranteed income, and on its equivalents in other fields. When a single historical story carries that much weight in an argument, the questions to ask are who established it, from what evidence, and whether anyone has checked since. The Speenhamland case shows the answer can be 'an interested party, from almost nothing, and not for 130 years.'</w:t>
      </w:r>
    </w:p>
    <w:p>
      <w:pPr>
        <w:spacing w:after="200" w:line="300"/>
      </w:pPr>
      <w:r>
        <w:rPr>
          <w:rFonts w:ascii="Georgia" w:cs="Georgia" w:eastAsia="Georgia" w:hAnsi="Georgia"/>
          <w:b/>
          <w:bCs/>
          <w:sz w:val="23"/>
          <w:szCs w:val="23"/>
        </w:rPr>
        <w:t>Where the lesson runs out:</w:t>
      </w:r>
      <w:r>
        <w:rPr>
          <w:rFonts w:ascii="Georgia" w:cs="Georgia" w:eastAsia="Georgia" w:hAnsi="Georgia"/>
          <w:sz w:val="23"/>
          <w:szCs w:val="23"/>
        </w:rPr>
        <w:t xml:space="preserve"> Debunking the parable is not evidence that wage subsidies or income guarantees are harmless, or that they work. Speenhamland was parish-level, bread-indexed relief in a rural economy of seasonal farm labor. A modern earned-income credit or basic income operates in a different labor market with different administration. Speenhamland therefore tells us less about those policies than both their critics and their defenders have claimed. What carries over from the case concerns standards of evidence rather than the design of welfare.</w:t>
      </w:r>
    </w:p>
    <w:p>
      <w:pPr>
        <w:spacing w:after="200" w:line="300"/>
      </w:pPr>
      <w:r>
        <w:rPr>
          <w:rFonts w:ascii="Georgia" w:cs="Georgia" w:eastAsia="Georgia" w:hAnsi="Georgia"/>
          <w:b/>
          <w:bCs/>
          <w:sz w:val="23"/>
          <w:szCs w:val="23"/>
        </w:rPr>
        <w:t>Who this is most useful for:</w:t>
      </w:r>
      <w:r>
        <w:rPr>
          <w:rFonts w:ascii="Georgia" w:cs="Georgia" w:eastAsia="Georgia" w:hAnsi="Georgia"/>
          <w:sz w:val="23"/>
          <w:szCs w:val="23"/>
        </w:rPr>
        <w:t xml:space="preserve"> Anyone about to cite a famous historical policy failure to win a present-day argument. The more perfectly an episode fits the moral being drawn from it, the more likely it is that someone shaped the telling, and the more worthwhile it is to find out who did the counting, and when.</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2026-09-21T19:08:49.234Z</dcterms:created>
  <dcterms:modified xsi:type="dcterms:W3CDTF">2026-09-21T19:08:49.235Z</dcterms:modified>
</cp:coreProperties>
</file>

<file path=docProps/custom.xml><?xml version="1.0" encoding="utf-8"?>
<Properties xmlns="http://schemas.openxmlformats.org/officeDocument/2006/custom-properties" xmlns:vt="http://schemas.openxmlformats.org/officeDocument/2006/docPropsVTypes"/>
</file>