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The Judge Ruled as Narrowly as He Could, and London Heard Freedom</w:t>
      </w:r>
    </w:p>
    <w:p>
      <w:pPr>
        <w:pBdr>
          <w:left w:val="single" w:color="B8C4D6" w:sz="12" w:space="10"/>
        </w:pBdr>
        <w:spacing w:after="120" w:line="300"/>
        <w:ind w:left="360"/>
      </w:pPr>
      <w:r>
        <w:t xml:space="preserve">In June 1772, Lord Mansfield, the chief justice of England, freed an enslaved man named James Somerset on a ground he chose to keep as small as possible. He held that a master could not forcibly ship a person out of England. He did not hold that slavery was unlawful there. Within weeks, much of London, and before long enslaved people in Virginia, understood the case to mean that slavery ended on English soil. The episode is worth knowing because the judge's caution was reasonable, the broad reading was a misreading of what he said, and the misreading still did more to change behavior than the ruling itself.</w:t>
      </w:r>
    </w:p>
    <w:p>
      <w:pPr>
        <w:pStyle w:val="Heading1"/>
        <w:spacing w:after="160" w:before="360"/>
      </w:pPr>
      <w:r>
        <w:t xml:space="preserve">A recaptured man, a ship bound for Jamaica, and an unsettled law</w:t>
      </w:r>
    </w:p>
    <w:p>
      <w:pPr>
        <w:pBdr>
          <w:left w:val="single" w:color="B8C4D6" w:sz="12" w:space="10"/>
        </w:pBdr>
        <w:spacing w:after="120" w:line="300"/>
        <w:ind w:left="360"/>
      </w:pPr>
      <w:r>
        <w:t xml:space="preserve">The facts of the case are not in dispute. Somerset was taken from Africa to Virginia in 1749 and was bought there by Charles Steuart, a Scottish merchant who later became a customs official in Boston. Steuart brought him to England in 1769. Somerset was baptized in London, and in the autumn of 1771 he left Steuart's service. He was recaptured in late November and held in chains aboard the Ann and Mary, a ship on the Thames under Captain John Knowles, bound for Jamaica, where he would be sold. Three of his baptismal godparents, John Marlow, Thomas Walkin, and Elizabeth Cade, applied for a writ of habeas corpus, which orders a jailer to bring a prisoner before a court and justify the detention. Accounts date the writ to 28 November or the application to 3 December 1771.</w:t>
      </w:r>
    </w:p>
    <w:p>
      <w:pPr>
        <w:spacing w:after="240"/>
        <w:ind w:left="360"/>
      </w:pPr>
      <w:r>
        <w:rPr>
          <w:color w:val="666666"/>
          <w:sz w:val="18"/>
          <w:szCs w:val="18"/>
        </w:rPr>
        <w:t xml:space="preserve">Van Cleve (2006), 601–05; </w:t>
      </w:r>
      <w:r>
        <w:rPr>
          <w:i/>
          <w:iCs/>
          <w:color w:val="666666"/>
          <w:sz w:val="18"/>
          <w:szCs w:val="18"/>
        </w:rPr>
        <w:t xml:space="preserve">Somerset v. Stewart</w:t>
      </w:r>
      <w:r>
        <w:rPr>
          <w:color w:val="666666"/>
          <w:sz w:val="18"/>
          <w:szCs w:val="18"/>
        </w:rPr>
        <w:t xml:space="preserve"> (1772), Lofft 1, 98 Eng. Rep. 499.</w:t>
      </w:r>
    </w:p>
    <w:p>
      <w:pPr>
        <w:pBdr>
          <w:left w:val="single" w:color="B8C4D6" w:sz="12" w:space="10"/>
        </w:pBdr>
        <w:spacing w:after="120" w:line="300"/>
        <w:ind w:left="360"/>
      </w:pPr>
      <w:r>
        <w:t xml:space="preserve">The case was organized from the start as a test. Granville Sharp, a government clerk who had spent years fighting for Black Londoners in court, helped assemble Somerset's counsel, a team that included Serjeant William Davy, Serjeant John Glynn, and Francis Hargrave. Steuart's defense was financed and directed by the West India planters and merchants, who wanted the question answered in their favor. Argument ran across several hearings from February to May 1772.</w:t>
      </w:r>
    </w:p>
    <w:p>
      <w:pPr>
        <w:spacing w:after="240"/>
        <w:ind w:left="360"/>
      </w:pPr>
      <w:r>
        <w:rPr>
          <w:color w:val="666666"/>
          <w:sz w:val="18"/>
          <w:szCs w:val="18"/>
        </w:rPr>
        <w:t xml:space="preserve">Van Cleve (2006); Oldham (1988), 45–68.</w:t>
      </w:r>
    </w:p>
    <w:p>
      <w:pPr>
        <w:pBdr>
          <w:left w:val="single" w:color="B8C4D6" w:sz="12" w:space="10"/>
        </w:pBdr>
        <w:spacing w:after="120" w:line="300"/>
        <w:ind w:left="360"/>
      </w:pPr>
      <w:r>
        <w:t xml:space="preserve">The law Mansfield had to apply pointed in two directions. In 1729 the Attorney General and Solicitor General, Philip Yorke and Charles Talbot, had given a formal opinion that an enslaved person did not become free by coming to Britain or by being baptized, and that a master could compel return to the plantations. Yorke, by then Lord Hardwicke, repeated that view from the bench in Pearne v. Lisle in 1749. On the other side stood older remarks attributed to Chief Justice Holt around 1700, and a 1762 statement by Lord Henley that a person became free on setting foot in England. The 1729 opinion was advice to planters, not a court judgment, but it was the view slaveholders relied on. Neither line had been tested in a full ruling of the King's Bench.</w:t>
      </w:r>
    </w:p>
    <w:p>
      <w:pPr>
        <w:spacing w:after="240"/>
        <w:ind w:left="360"/>
      </w:pPr>
      <w:r>
        <w:rPr>
          <w:color w:val="666666"/>
          <w:sz w:val="18"/>
          <w:szCs w:val="18"/>
        </w:rPr>
        <w:t xml:space="preserve">Van Cleve (2006); Rabin (2022).</w:t>
      </w:r>
    </w:p>
    <w:p>
      <w:pPr>
        <w:pStyle w:val="Heading1"/>
        <w:spacing w:after="160" w:before="360"/>
      </w:pPr>
      <w:r>
        <w:t xml:space="preserve">What Mansfield knew, and what each option cost</w:t>
      </w:r>
    </w:p>
    <w:p>
      <w:pPr>
        <w:pBdr>
          <w:left w:val="single" w:color="B8C4D6" w:sz="12" w:space="10"/>
        </w:pBdr>
        <w:spacing w:after="120" w:line="300"/>
        <w:ind w:left="360"/>
      </w:pPr>
      <w:r>
        <w:t xml:space="preserve">Mansfield had tried once before to avoid deciding the question at all. In R. v. Stapylton in 1771, he steered the case to a jury, which found that the man involved did not belong to the defendant. Granville Sharp's biographer recorded Mansfield telling counsel that he hoped the question "never will be finally discussed," because he would have masters think their slaves free and slaves think they were not, so that "they would both behave better." The source is secondhand, from Sharp's circle, but it fits his conduct in both cases. His preferred outcome was ambiguity.</w:t>
      </w:r>
    </w:p>
    <w:p>
      <w:pPr>
        <w:spacing w:after="240"/>
        <w:ind w:left="360"/>
      </w:pPr>
      <w:r>
        <w:rPr>
          <w:color w:val="666666"/>
          <w:sz w:val="18"/>
          <w:szCs w:val="18"/>
        </w:rPr>
        <w:t xml:space="preserve">Rabin (2022), quoting Hoare, </w:t>
      </w:r>
      <w:r>
        <w:rPr>
          <w:i/>
          <w:iCs/>
          <w:color w:val="666666"/>
          <w:sz w:val="18"/>
          <w:szCs w:val="18"/>
        </w:rPr>
        <w:t xml:space="preserve">Memoirs of Granville Sharp</w:t>
      </w:r>
      <w:r>
        <w:rPr>
          <w:color w:val="666666"/>
          <w:sz w:val="18"/>
          <w:szCs w:val="18"/>
        </w:rPr>
        <w:t xml:space="preserve"> (1820), 59.</w:t>
      </w:r>
    </w:p>
    <w:p>
      <w:pPr>
        <w:pBdr>
          <w:left w:val="single" w:color="B8C4D6" w:sz="12" w:space="10"/>
        </w:pBdr>
        <w:spacing w:after="120" w:line="300"/>
        <w:ind w:left="360"/>
      </w:pPr>
      <w:r>
        <w:t xml:space="preserve">Somerset's case left him three real options. He could rule for Steuart on the strength of the 1729 opinion, which would have put the King's Bench on record approving slavery in England and let a master deport a baptized resident by force. He could rule broadly that slavery had no legal existence in England. The court heard an estimate that 14,000 to 15,000 enslaved people lived in England, and at £50 a head their value came to roughly £700,000. That figure was a contemporary estimate, and historians have not fixed the actual population. A broad ruling would also have invited the argument that colonial slavery rested on the same weak footing, which Hardwicke had warned about in 1749. The third option was to find the narrowest ground that would release Somerset without settling anything else.</w:t>
      </w:r>
    </w:p>
    <w:p>
      <w:pPr>
        <w:spacing w:after="240"/>
        <w:ind w:left="360"/>
      </w:pPr>
      <w:r>
        <w:rPr>
          <w:color w:val="666666"/>
          <w:sz w:val="18"/>
          <w:szCs w:val="18"/>
        </w:rPr>
        <w:t xml:space="preserve">Lofft 1; Van Cleve (2006); Oldham (1988).</w:t>
      </w:r>
    </w:p>
    <w:p>
      <w:pPr>
        <w:pBdr>
          <w:left w:val="single" w:color="B8C4D6" w:sz="12" w:space="10"/>
        </w:pBdr>
        <w:spacing w:after="120" w:line="300"/>
        <w:ind w:left="360"/>
      </w:pPr>
      <w:r>
        <w:t xml:space="preserve">Mansfield first tried to escape the choice altogether. At the close of argument in May he suggested that Steuart could end the case by freeing Somerset, and that Parliament was the proper body to settle the status of slaves in England. The planters declined. They wanted a judgment. Mansfield told them that if the parties insisted, he would decide it, with the maxim "let justice be done, though the heavens fall." A reasonable judge in his position faced a split record, a large property interest, a colonial trade he considered economically important, and no legislation. Oldham's reading of Mansfield's papers is that he doubted slavery's moral basis but took the commercial stakes seriously, and tried to accommodate both.</w:t>
      </w:r>
    </w:p>
    <w:p>
      <w:pPr>
        <w:spacing w:after="240"/>
        <w:ind w:left="360"/>
      </w:pPr>
      <w:r>
        <w:rPr>
          <w:color w:val="666666"/>
          <w:sz w:val="18"/>
          <w:szCs w:val="18"/>
        </w:rPr>
        <w:t xml:space="preserve">Oldham (1988); Van Cleve (2006).</w:t>
      </w:r>
    </w:p>
    <w:p>
      <w:pPr>
        <w:pStyle w:val="Heading1"/>
        <w:spacing w:after="160" w:before="360"/>
      </w:pPr>
      <w:r>
        <w:t xml:space="preserve">The judgment answered one question, and the public answered another</w:t>
      </w:r>
    </w:p>
    <w:p>
      <w:pPr>
        <w:pBdr>
          <w:left w:val="single" w:color="B8C4D6" w:sz="12" w:space="10"/>
        </w:pBdr>
        <w:spacing w:after="120" w:line="300"/>
        <w:ind w:left="360"/>
      </w:pPr>
      <w:r>
        <w:t xml:space="preserve">Mansfield delivered judgment on 22 June 1772. The fullest report, Capel Lofft's, has him saying that slavery could be introduced only by "positive law," meaning a statute or established custom, and that it was "so odious, that nothing can be suffered to support it, but positive law." Because no English law authorized the specific act of forcing Somerset abroad, "the black must be discharged." The question as Mansfield framed it was whether so high an act of dominion as forced removal was recognized in England. Oldham, comparing Lofft with newspaper accounts and other reports, concludes that the holding went no further than that. Van Cleve reaches the same conclusion from a wider imperial view.</w:t>
      </w:r>
    </w:p>
    <w:p>
      <w:pPr>
        <w:spacing w:after="240"/>
        <w:ind w:left="360"/>
      </w:pPr>
      <w:r>
        <w:rPr>
          <w:color w:val="666666"/>
          <w:sz w:val="18"/>
          <w:szCs w:val="18"/>
        </w:rPr>
        <w:t xml:space="preserve">Lofft 1, 98 Eng. Rep. 499; Oldham (1988); Van Cleve (2006).</w:t>
      </w:r>
    </w:p>
    <w:p>
      <w:pPr>
        <w:pBdr>
          <w:left w:val="single" w:color="B8C4D6" w:sz="12" w:space="10"/>
        </w:pBdr>
        <w:spacing w:after="120" w:line="300"/>
        <w:ind w:left="360"/>
      </w:pPr>
      <w:r>
        <w:t xml:space="preserve">Mansfield later confirmed the narrow reading himself. In R. v. Inhabitants of Thames Ditton in 1785, he said the Somerset determinations "go no further than that the master cannot by force compel him to go out of the kingdom." The record is consistent with that. Newspaper advertisements for the sale of enslaved people appeared in Liverpool in 1779 and Bristol in 1792, and Parliament did not abolish slavery in the colonies until 1833. The popular claim that Mansfield abolished slavery in England is not supported by what he held.</w:t>
      </w:r>
    </w:p>
    <w:p>
      <w:pPr>
        <w:spacing w:after="240"/>
        <w:ind w:left="360"/>
      </w:pPr>
      <w:r>
        <w:rPr>
          <w:i/>
          <w:iCs/>
          <w:color w:val="666666"/>
          <w:sz w:val="18"/>
          <w:szCs w:val="18"/>
        </w:rPr>
        <w:t xml:space="preserve">R. v. Inhabitants of Thames Ditton</w:t>
      </w:r>
      <w:r>
        <w:rPr>
          <w:color w:val="666666"/>
          <w:sz w:val="18"/>
          <w:szCs w:val="18"/>
        </w:rPr>
        <w:t xml:space="preserve"> (1785), 4 Doug. 300, 99 Eng. Rep. 891; Oldham (1988).</w:t>
      </w:r>
    </w:p>
    <w:p>
      <w:pPr>
        <w:pBdr>
          <w:left w:val="single" w:color="B8C4D6" w:sz="12" w:space="10"/>
        </w:pBdr>
        <w:spacing w:after="120" w:line="300"/>
        <w:ind w:left="360"/>
      </w:pPr>
      <w:r>
        <w:t xml:space="preserve">The public reading was broader from the first day. Black and white supporters celebrated Somerset's release in London, and the language of the judgment, especially the word "odious," traveled further than its reasoning. Two years later, on 30 June 1774, a Virginia planter named Gabriel Jones advertised for a runaway named Bacchus. Jones expected Bacchus to try to board a ship for Great Britain "from the Knowledge he has of the late Determination of Somerset's Case." Defenders of slavery read the case broadly too. In 1827, Lord Stowell wrote that it had established that owners had no authority over their slaves in England. William Wiecek and later historians of American law have traced how this broad version shaped arguments over free soil in the United States for decades.</w:t>
      </w:r>
    </w:p>
    <w:p>
      <w:pPr>
        <w:spacing w:after="240"/>
        <w:ind w:left="360"/>
      </w:pPr>
      <w:r>
        <w:rPr>
          <w:i/>
          <w:iCs/>
          <w:color w:val="666666"/>
          <w:sz w:val="18"/>
          <w:szCs w:val="18"/>
        </w:rPr>
        <w:t xml:space="preserve">Virginia Gazette</w:t>
      </w:r>
      <w:r>
        <w:rPr>
          <w:color w:val="666666"/>
          <w:sz w:val="18"/>
          <w:szCs w:val="18"/>
        </w:rPr>
        <w:t xml:space="preserve"> (Purdie &amp; Dixon), 30 June 1774; Wiecek (1974); </w:t>
      </w:r>
      <w:r>
        <w:rPr>
          <w:i/>
          <w:iCs/>
          <w:color w:val="666666"/>
          <w:sz w:val="18"/>
          <w:szCs w:val="18"/>
        </w:rPr>
        <w:t xml:space="preserve">The Slave Grace</w:t>
      </w:r>
      <w:r>
        <w:rPr>
          <w:color w:val="666666"/>
          <w:sz w:val="18"/>
          <w:szCs w:val="18"/>
        </w:rPr>
        <w:t xml:space="preserve"> (1827).</w:t>
      </w:r>
    </w:p>
    <w:p>
      <w:pPr>
        <w:pStyle w:val="Heading1"/>
        <w:spacing w:after="160" w:before="360"/>
      </w:pPr>
      <w:r>
        <w:t xml:space="preserve">Why the narrow ruling and the broad reading both mattered</w:t>
      </w:r>
    </w:p>
    <w:p>
      <w:pPr>
        <w:pBdr>
          <w:left w:val="single" w:color="B8C4D6" w:sz="12" w:space="10"/>
        </w:pBdr>
        <w:spacing w:after="120" w:line="300"/>
        <w:ind w:left="360"/>
      </w:pPr>
      <w:r>
        <w:t xml:space="preserve">The episode shows a decision-maker controlling the text of a ruling and losing control of its meaning. Mansfield succeeded at what he set out to do in law. The holding was small, colonial slavery was untouched, and Parliament kept the larger question. What he could not control was how people who were not lawyers would act on it. The inference, which the sources support but do not prove, is that enslaved people in England who believed the case freed them could leave, and masters who could no longer ship them abroad by force had little way to stop them. The narrow holding supplied the enforcement, and the broad reading supplied the motive. How many people actually left service because of the case is not recorded with any precision.</w:t>
      </w:r>
    </w:p>
    <w:p>
      <w:pPr>
        <w:spacing w:after="240"/>
        <w:ind w:left="360"/>
      </w:pPr>
      <w:r>
        <w:rPr>
          <w:color w:val="666666"/>
          <w:sz w:val="18"/>
          <w:szCs w:val="18"/>
        </w:rPr>
        <w:t xml:space="preserve">Oldham (1988); Van Cleve (2006).</w:t>
      </w:r>
    </w:p>
    <w:p>
      <w:pPr>
        <w:pBdr>
          <w:left w:val="single" w:color="B8C4D6" w:sz="12" w:space="10"/>
        </w:pBdr>
        <w:spacing w:after="120" w:line="300"/>
        <w:ind w:left="360"/>
      </w:pPr>
      <w:r>
        <w:t xml:space="preserve">The pattern appears wherever an authority issues a limited decision into a public that wants a general rule: a court ruling on procedure that is reported as a ruling on rights, a regulator's narrow approval read as endorsement, a central bank's conditional statement read as a promise. It depends on two conditions. The audience must be able to act on its reading without asking the authority's permission, as Somerset's peers could by walking away. And the narrow holding must leave some part of the broad reading enforceable, as the ban on forced removal did. Where the audience is professional and reads the text closely, or where acting on the broad reading requires the cooperation of officials bound by the narrow one, the gap closes and the author's version prevails. Mansfield's own later clarification shows the limit: in court, his narrow reading governed. Outside it, it did not.</w:t>
      </w:r>
    </w:p>
    <w:p>
      <w:pPr>
        <w:pStyle w:val="Heading1"/>
        <w:spacing w:after="160" w:before="360"/>
      </w:pPr>
      <w:r>
        <w:t xml:space="preserve">Key takeaways</w:t>
      </w:r>
    </w:p>
    <w:p>
      <w:pPr>
        <w:pBdr>
          <w:left w:val="single" w:color="B8C4D6" w:sz="12" w:space="10"/>
        </w:pBdr>
        <w:spacing w:after="120" w:line="300"/>
        <w:ind w:left="360"/>
      </w:pPr>
      <w:r>
        <w:t xml:space="preserve">A narrow ruling can be the right legal choice and still produce broad effects, because people act on what a decision seems to mean, not on its holding.</w:t>
      </w:r>
    </w:p>
    <w:p>
      <w:pPr>
        <w:pBdr>
          <w:left w:val="single" w:color="B8C4D6" w:sz="12" w:space="10"/>
        </w:pBdr>
        <w:spacing w:after="120" w:line="300"/>
        <w:ind w:left="360"/>
      </w:pPr>
      <w:r>
        <w:t xml:space="preserve">When the author of a decision prefers ambiguity, the parties may refuse it. Mansfield wanted the question left open, and the planters' demand for a judgment forced him to say something.</w:t>
      </w:r>
    </w:p>
    <w:p>
      <w:pPr>
        <w:pBdr>
          <w:left w:val="single" w:color="B8C4D6" w:sz="12" w:space="10"/>
        </w:pBdr>
        <w:spacing w:after="120" w:line="300"/>
        <w:ind w:left="360"/>
      </w:pPr>
      <w:r>
        <w:t xml:space="preserve">Before issuing a limited decision, ask which part of the broad misreading the limited holding would make enforceable. That part is likely to become real.</w:t>
      </w:r>
    </w:p>
    <w:p>
      <w:pPr>
        <w:pBdr>
          <w:left w:val="single" w:color="B8C4D6" w:sz="12" w:space="10"/>
        </w:pBdr>
        <w:spacing w:after="120" w:line="300"/>
        <w:ind w:left="360"/>
      </w:pPr>
      <w:r>
        <w:t xml:space="preserve">The lesson stops applying when the audience must go through the same authority to act. Where courts or officials read the text closely and control the outcome, the narrow meaning holds, as it did in Mansfield's own court in 1785.</w:t>
      </w:r>
    </w:p>
    <w:p>
      <w:pPr>
        <w:pStyle w:val="Heading1"/>
        <w:spacing w:after="160" w:before="360"/>
      </w:pPr>
      <w:r>
        <w:t xml:space="preserve">Sources</w:t>
      </w:r>
    </w:p>
    <w:p>
      <w:pPr>
        <w:spacing w:after="100"/>
        <w:ind w:left="360" w:hanging="360"/>
      </w:pPr>
      <w:r>
        <w:rPr>
          <w:sz w:val="20"/>
          <w:szCs w:val="20"/>
        </w:rPr>
        <w:t xml:space="preserve">Oldham, James. "New Light on Mansfield and Slavery." </w:t>
      </w:r>
      <w:r>
        <w:rPr>
          <w:i/>
          <w:iCs/>
          <w:sz w:val="20"/>
          <w:szCs w:val="20"/>
        </w:rPr>
        <w:t xml:space="preserve">Journal of British Studies</w:t>
      </w:r>
      <w:r>
        <w:rPr>
          <w:sz w:val="20"/>
          <w:szCs w:val="20"/>
        </w:rPr>
        <w:t xml:space="preserve"> 27, no. 1 (1988): 45–68.</w:t>
      </w:r>
    </w:p>
    <w:p>
      <w:pPr>
        <w:spacing w:after="100"/>
        <w:ind w:left="360" w:hanging="360"/>
      </w:pPr>
      <w:r>
        <w:rPr>
          <w:sz w:val="20"/>
          <w:szCs w:val="20"/>
        </w:rPr>
        <w:t xml:space="preserve">Van Cleve, George. "</w:t>
      </w:r>
      <w:r>
        <w:rPr>
          <w:i/>
          <w:iCs/>
          <w:sz w:val="20"/>
          <w:szCs w:val="20"/>
        </w:rPr>
        <w:t xml:space="preserve">Somerset's Case</w:t>
      </w:r>
      <w:r>
        <w:rPr>
          <w:sz w:val="20"/>
          <w:szCs w:val="20"/>
        </w:rPr>
        <w:t xml:space="preserve"> and Its Antecedents in Imperial Perspective." </w:t>
      </w:r>
      <w:r>
        <w:rPr>
          <w:i/>
          <w:iCs/>
          <w:sz w:val="20"/>
          <w:szCs w:val="20"/>
        </w:rPr>
        <w:t xml:space="preserve">Law and History Review</w:t>
      </w:r>
      <w:r>
        <w:rPr>
          <w:sz w:val="20"/>
          <w:szCs w:val="20"/>
        </w:rPr>
        <w:t xml:space="preserve"> 24, no. 3 (2006): 601–45.</w:t>
      </w:r>
    </w:p>
    <w:p>
      <w:pPr>
        <w:spacing w:after="100"/>
        <w:ind w:left="360" w:hanging="360"/>
      </w:pPr>
      <w:r>
        <w:rPr>
          <w:sz w:val="20"/>
          <w:szCs w:val="20"/>
        </w:rPr>
        <w:t xml:space="preserve">Rabin, Dana. "Slavery, Law, and Race in England and its New World Empire." </w:t>
      </w:r>
      <w:r>
        <w:rPr>
          <w:i/>
          <w:iCs/>
          <w:sz w:val="20"/>
          <w:szCs w:val="20"/>
        </w:rPr>
        <w:t xml:space="preserve">Law and History Review</w:t>
      </w:r>
      <w:r>
        <w:rPr>
          <w:sz w:val="20"/>
          <w:szCs w:val="20"/>
        </w:rPr>
        <w:t xml:space="preserve"> (2022).</w:t>
      </w:r>
    </w:p>
    <w:p>
      <w:pPr>
        <w:spacing w:after="100"/>
        <w:ind w:left="360" w:hanging="360"/>
      </w:pPr>
      <w:r>
        <w:rPr>
          <w:sz w:val="20"/>
          <w:szCs w:val="20"/>
        </w:rPr>
        <w:t xml:space="preserve">Wiecek, William M. "Somerset: Lord Mansfield and the Legitimacy of Slavery in the Anglo-American World." </w:t>
      </w:r>
      <w:r>
        <w:rPr>
          <w:i/>
          <w:iCs/>
          <w:sz w:val="20"/>
          <w:szCs w:val="20"/>
        </w:rPr>
        <w:t xml:space="preserve">University of Chicago Law Review</w:t>
      </w:r>
      <w:r>
        <w:rPr>
          <w:sz w:val="20"/>
          <w:szCs w:val="20"/>
        </w:rPr>
        <w:t xml:space="preserve"> 42, no. 1 (1974): 86–146.</w:t>
      </w:r>
    </w:p>
    <w:p>
      <w:pPr>
        <w:spacing w:after="100"/>
        <w:ind w:left="360" w:hanging="360"/>
      </w:pPr>
      <w:r>
        <w:rPr>
          <w:i/>
          <w:iCs/>
          <w:sz w:val="20"/>
          <w:szCs w:val="20"/>
        </w:rPr>
        <w:t xml:space="preserve">Somerset v. Stewart</w:t>
      </w:r>
      <w:r>
        <w:rPr>
          <w:sz w:val="20"/>
          <w:szCs w:val="20"/>
        </w:rPr>
        <w:t xml:space="preserve"> (1772), Lofft 1, 98 Eng. Rep. 499.</w:t>
      </w:r>
    </w:p>
    <w:p>
      <w:pPr>
        <w:spacing w:after="100"/>
        <w:ind w:left="360" w:hanging="360"/>
      </w:pPr>
      <w:r>
        <w:rPr>
          <w:i/>
          <w:iCs/>
          <w:sz w:val="20"/>
          <w:szCs w:val="20"/>
        </w:rPr>
        <w:t xml:space="preserve">R. v. Inhabitants of Thames Ditton</w:t>
      </w:r>
      <w:r>
        <w:rPr>
          <w:sz w:val="20"/>
          <w:szCs w:val="20"/>
        </w:rPr>
        <w:t xml:space="preserve"> (1785), 4 Doug. 300, 99 Eng. Rep. 891.</w:t>
      </w:r>
    </w:p>
    <w:p>
      <w:pPr>
        <w:spacing w:after="100"/>
        <w:ind w:left="360" w:hanging="360"/>
      </w:pPr>
      <w:r>
        <w:rPr>
          <w:i/>
          <w:iCs/>
          <w:sz w:val="20"/>
          <w:szCs w:val="20"/>
        </w:rPr>
        <w:t xml:space="preserve">Virginia Gazette</w:t>
      </w:r>
      <w:r>
        <w:rPr>
          <w:sz w:val="20"/>
          <w:szCs w:val="20"/>
        </w:rPr>
        <w:t xml:space="preserve"> (Purdie &amp; Dixon), Williamsburg, 30 June 1774, advertisement by Gabriel Jones. Geography of Slavery in Virginia, University of Virginia.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Georgia" w:cs="Georgia" w:eastAsia="Georgia" w:hAnsi="Georgia"/>
      <w:b/>
      <w:bCs/>
      <w:color w:val="1F2A44"/>
      <w:sz w:val="40"/>
      <w:szCs w:val="40"/>
    </w:rPr>
  </w:style>
  <w:style w:type="paragraph" w:styleId="Heading1">
    <w:name w:val="Heading 1"/>
    <w:basedOn w:val="Normal"/>
    <w:next w:val="Normal"/>
    <w:qFormat/>
    <w:pPr>
      <w:keepNext/>
      <w:outlineLvl w:val="0"/>
    </w:pPr>
    <w:rPr>
      <w:rFonts w:ascii="Georgia" w:cs="Georgia" w:eastAsia="Georgia" w:hAnsi="Georgia"/>
      <w:b/>
      <w:bCs/>
      <w:color w:val="2E4A7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2026-09-25T19:06:47.233Z</dcterms:created>
  <dcterms:modified xsi:type="dcterms:W3CDTF">2026-09-25T19:06:47.245Z</dcterms:modified>
</cp:coreProperties>
</file>

<file path=docProps/custom.xml><?xml version="1.0" encoding="utf-8"?>
<Properties xmlns="http://schemas.openxmlformats.org/officeDocument/2006/custom-properties" xmlns:vt="http://schemas.openxmlformats.org/officeDocument/2006/docPropsVTypes"/>
</file>