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STATISTICAL ANALYSIS PLAN (SAMPLE)</w:t>
      </w:r>
    </w:p>
    <w:p>
      <w:pPr>
        <w:pStyle w:val="Normal"/>
      </w:pPr>
      <w:r>
        <w:t xml:space="preserve">Study STUDY01 - A Randomised Study of Xanomeline in Dementia</w:t>
      </w:r>
    </w:p>
    <w:p>
      <w:pPr>
        <w:pStyle w:val="Normal"/>
      </w:pPr>
      <w:r>
        <w:t xml:space="preserve">Synthetic sample bundled with the ydisctools R package; outline informed by common industry SAP templates, all text original.</w:t>
      </w:r>
    </w:p>
    <w:p>
      <w:pPr>
        <w:pStyle w:val="Titre1"/>
      </w:pPr>
      <w:r>
        <w:t xml:space="preserve">1 Introduction</w:t>
      </w:r>
    </w:p>
    <w:p>
      <w:pPr>
        <w:pStyle w:val="Normal"/>
      </w:pPr>
      <w:r>
        <w:t xml:space="preserve">This statistical analysis plan (SAP) describes the planned analyses for study STUDY01, a randomised, double-blind, placebo-controlled study with three arms: Placebo, Xanomeline Low Dose and Xanomeline High Dose. It elaborates the statistical section of the protocol and fixes the planned displays before database lock.</w:t>
      </w:r>
    </w:p>
    <w:p>
      <w:pPr>
        <w:pStyle w:val="Titre1"/>
      </w:pPr>
      <w:r>
        <w:t xml:space="preserve">2 Study Objectives and Endpoints</w:t>
      </w:r>
    </w:p>
    <w:p>
      <w:pPr>
        <w:pStyle w:val="Titre2"/>
      </w:pPr>
      <w:r>
        <w:t xml:space="preserve">2.1 Primary Objective and Endpoint</w:t>
      </w:r>
    </w:p>
    <w:p>
      <w:pPr>
        <w:pStyle w:val="Normal"/>
      </w:pPr>
      <w:r>
        <w:t xml:space="preserve">The primary objective is to evaluate the efficacy of Xanomeline compared with placebo. The primary endpoint (ADEFF.PARAMCD = 'PRIMEP') is the change from baseline to Week 24 in the cognition total score. A subject with an improvement of at least 4 points is a responder (ADEFF.CRIT1FL = 'Y').</w:t>
      </w:r>
    </w:p>
    <w:p>
      <w:pPr>
        <w:pStyle w:val="Titre2"/>
      </w:pPr>
      <w:r>
        <w:t xml:space="preserve">2.2 Key Secondary Endpoint</w:t>
      </w:r>
    </w:p>
    <w:p>
      <w:pPr>
        <w:pStyle w:val="Normal"/>
      </w:pPr>
      <w:r>
        <w:t xml:space="preserve">The key secondary endpoint (ADEFF.PARAMCD = 'SECEP') is the change from baseline to Week 24 in the clinician's global impression score, with a responder defined as any improvement from baseline (ADEFF.CRIT1FL = 'Y').</w:t>
      </w:r>
    </w:p>
    <w:p>
      <w:pPr>
        <w:pStyle w:val="Titre1"/>
      </w:pPr>
      <w:r>
        <w:t xml:space="preserve">3 Study Design</w:t>
      </w:r>
    </w:p>
    <w:p>
      <w:pPr>
        <w:pStyle w:val="Normal"/>
      </w:pPr>
      <w:r>
        <w:t xml:space="preserve">Subjects are randomised 1:1:1 to Placebo, Xanomeline Low Dose or Xanomeline High Dose (ADSL.TRT01A) and treated for 24 weeks. Visits are scheduled every 4 weeks; safety is monitored throughout the treatment and follow-up periods.</w:t>
      </w:r>
    </w:p>
    <w:p>
      <w:pPr>
        <w:pStyle w:val="Titre1"/>
      </w:pPr>
      <w:r>
        <w:t xml:space="preserve">4 Analysis Sets</w:t>
      </w:r>
    </w:p>
    <w:p>
      <w:pPr>
        <w:pStyle w:val="Normal"/>
      </w:pPr>
      <w:r>
        <w:t xml:space="preserve">The Safety Analysis Set comprises all subjects who received at least one dose of study drug (ADSL.SAFFL = 'Y'); it is the default population for safety displays. The Intent-to-Treat (ITT) Analysis Set comprises all randomised subjects (ADSL.ITTFL = 'Y'); it is the population for the efficacy analyses.</w:t>
      </w:r>
    </w:p>
    <w:p>
      <w:pPr>
        <w:pStyle w:val="Titre1"/>
      </w:pPr>
      <w:r>
        <w:t xml:space="preserve">5 Statistical Methods</w:t>
      </w:r>
    </w:p>
    <w:p>
      <w:pPr>
        <w:pStyle w:val="Titre2"/>
      </w:pPr>
      <w:r>
        <w:t xml:space="preserve">5.1 General Considerations</w:t>
      </w:r>
    </w:p>
    <w:p>
      <w:pPr>
        <w:pStyle w:val="Normal"/>
      </w:pPr>
      <w:r>
        <w:t xml:space="preserve">Continuous variables will be described with n, mean, standard deviation, median, quartiles, minimum and maximum. Categorical variables will be described with counts and percentages; percentages use the number of subjects in the analysis set and treatment group as the denominator unless stated otherwise. No inferential multiplicity adjustment is planned for this sample document.</w:t>
      </w:r>
    </w:p>
    <w:p>
      <w:pPr>
        <w:pStyle w:val="Titre2"/>
      </w:pPr>
      <w:r>
        <w:t xml:space="preserve">5.2 Demographics, Disposition and Exposure</w:t>
      </w:r>
    </w:p>
    <w:p>
      <w:pPr>
        <w:pStyle w:val="Normal"/>
      </w:pPr>
      <w:r>
        <w:t xml:space="preserve">Demographic and baseline characteristics will be summarised by treatment group on the Safety Analysis Set. Subject disposition (end-of-study status and reason for discontinuation) and study drug exposure (duration of treatment and cumulative dose) will be summarised likewise.</w:t>
      </w:r>
    </w:p>
    <w:p>
      <w:pPr>
        <w:pStyle w:val="Titre2"/>
      </w:pPr>
      <w:r>
        <w:t xml:space="preserve">5.3 Efficacy Analyses</w:t>
      </w:r>
    </w:p>
    <w:p>
      <w:pPr>
        <w:pStyle w:val="Normal"/>
      </w:pPr>
      <w:r>
        <w:t xml:space="preserve">The primary endpoint will be analysed on the ITT Analysis Set: the Week 24 change from baseline will be summarised by treatment group, and the proportion of responders will be presented with counts and percentages. The key secondary endpoint will be analysed in the same way. No interim analysis is planned.</w:t>
      </w:r>
    </w:p>
    <w:p>
      <w:pPr>
        <w:pStyle w:val="Titre2"/>
      </w:pPr>
      <w:r>
        <w:t xml:space="preserve">5.4 Safety Analyses</w:t>
      </w:r>
    </w:p>
    <w:p>
      <w:pPr>
        <w:pStyle w:val="Normal"/>
      </w:pPr>
      <w:r>
        <w:t xml:space="preserve">Treatment-emergent adverse events (ADAE.TRTEMFL = 'Y') will be summarised by treatment group on the Safety Analysis Set: an overall summary, summaries by system organ class, by preferred term and by maximum severity, and a summary of serious adverse events (ADAE.AESER = 'Y') by system organ class. Adverse events are coded with MedDRA.</w:t>
      </w:r>
    </w:p>
    <w:p>
      <w:pPr>
        <w:pStyle w:val="Titre1"/>
      </w:pPr>
      <w:r>
        <w:t xml:space="preserve">6 Sample Size</w:t>
      </w:r>
    </w:p>
    <w:p>
      <w:pPr>
        <w:pStyle w:val="Normal"/>
      </w:pPr>
      <w:r>
        <w:t xml:space="preserve">The sample size is driven by the primary comparison of Xanomeline High Dose with placebo; the planned enrolment provides adequate power under the protocol assumptions. No re-estimation is planned.</w:t>
      </w:r>
    </w:p>
    <w:p>
      <w:pPr>
        <w:pStyle w:val="Titre1"/>
      </w:pPr>
      <w:r>
        <w:t xml:space="preserve">7 Changes from the Protocol-Planned Analyses</w:t>
      </w:r>
    </w:p>
    <w:p>
      <w:pPr>
        <w:pStyle w:val="Normal"/>
      </w:pPr>
      <w:r>
        <w:t xml:space="preserve">None.</w:t>
      </w:r>
    </w:p>
    <w:p>
      <w:pPr>
        <w:pStyle w:val="Titre1"/>
      </w:pPr>
      <w:r>
        <w:t xml:space="preserve">8 Appendix: Planned Displays</w:t>
      </w:r>
    </w:p>
    <w:p>
      <w:pPr>
        <w:pStyle w:val="Normal"/>
      </w:pPr>
      <w:r>
        <w:t xml:space="preserve">Display numbers will be assigned per the Acme CSR template section structure at TFL specification time.</w:t>
      </w:r>
    </w:p>
    <w:tbl>
      <w:tblPr>
        <w:tblLayout w:type="autofit"/>
        <w:jc w:val="center"/>
        <w:tblW w:type="pct" w:w="5000"/>
        <w:tblLook w:firstRow="1" w:lastRow="0" w:firstColumn="0" w:lastColumn="0" w:noHBand="0" w:noVBand="1"/>
      </w:tblPr>
      <w:tr>
        <w:trPr>
          <w:tblHeader/>
        </w:trPr>
        <w:tc>
          <w:p>
            <w:pPr>
              <w:pStyle w:val="Normal"/>
            </w:pPr>
            <w:r>
              <w:t>Table No.</w:t>
            </w:r>
          </w:p>
        </w:tc>
        <w:tc>
          <w:p>
            <w:pPr>
              <w:pStyle w:val="Normal"/>
            </w:pPr>
            <w:r>
              <w:t>Title</w:t>
            </w:r>
          </w:p>
        </w:tc>
        <w:tc>
          <w:p>
            <w:pPr>
              <w:pStyle w:val="Normal"/>
            </w:pPr>
            <w:r>
              <w:t>Population</w:t>
            </w:r>
          </w:p>
        </w:tc>
      </w:tr>
      <w:tr>
        <w:tc>
          <w:p>
            <w:pPr>
              <w:pStyle w:val="Normal"/>
            </w:pPr>
            <w:r>
              <w:t/>
            </w:r>
          </w:p>
        </w:tc>
        <w:tc>
          <w:p>
            <w:pPr>
              <w:pStyle w:val="Normal"/>
            </w:pPr>
            <w:r>
              <w:t>Summary of Demographic Data</w:t>
            </w:r>
          </w:p>
        </w:tc>
        <w:tc>
          <w:p>
            <w:pPr>
              <w:pStyle w:val="Normal"/>
            </w:pPr>
            <w:r>
              <w:t>Safety</w:t>
            </w:r>
          </w:p>
        </w:tc>
      </w:tr>
      <w:tr>
        <w:tc>
          <w:p>
            <w:pPr>
              <w:pStyle w:val="Normal"/>
            </w:pPr>
            <w:r>
              <w:t/>
            </w:r>
          </w:p>
        </w:tc>
        <w:tc>
          <w:p>
            <w:pPr>
              <w:pStyle w:val="Normal"/>
            </w:pPr>
            <w:r>
              <w:t>Summary of Subject Disposition</w:t>
            </w:r>
          </w:p>
        </w:tc>
        <w:tc>
          <w:p>
            <w:pPr>
              <w:pStyle w:val="Normal"/>
            </w:pPr>
            <w:r>
              <w:t>Safety</w:t>
            </w:r>
          </w:p>
        </w:tc>
      </w:tr>
      <w:tr>
        <w:tc>
          <w:p>
            <w:pPr>
              <w:pStyle w:val="Normal"/>
            </w:pPr>
            <w:r>
              <w:t/>
            </w:r>
          </w:p>
        </w:tc>
        <w:tc>
          <w:p>
            <w:pPr>
              <w:pStyle w:val="Normal"/>
            </w:pPr>
            <w:r>
              <w:t>Summary of Study Drug Exposure</w:t>
            </w:r>
          </w:p>
        </w:tc>
        <w:tc>
          <w:p>
            <w:pPr>
              <w:pStyle w:val="Normal"/>
            </w:pPr>
            <w:r>
              <w:t>Safety</w:t>
            </w:r>
          </w:p>
        </w:tc>
      </w:tr>
      <w:tr>
        <w:tc>
          <w:p>
            <w:pPr>
              <w:pStyle w:val="Normal"/>
            </w:pPr>
            <w:r>
              <w:t/>
            </w:r>
          </w:p>
        </w:tc>
        <w:tc>
          <w:p>
            <w:pPr>
              <w:pStyle w:val="Normal"/>
            </w:pPr>
            <w:r>
              <w:t>Overall Summary of Treatment-Emergent Adverse Events</w:t>
            </w:r>
          </w:p>
        </w:tc>
        <w:tc>
          <w:p>
            <w:pPr>
              <w:pStyle w:val="Normal"/>
            </w:pPr>
            <w:r>
              <w:t>Safety</w:t>
            </w:r>
          </w:p>
        </w:tc>
      </w:tr>
      <w:tr>
        <w:tc>
          <w:p>
            <w:pPr>
              <w:pStyle w:val="Normal"/>
            </w:pPr>
            <w:r>
              <w:t/>
            </w:r>
          </w:p>
        </w:tc>
        <w:tc>
          <w:p>
            <w:pPr>
              <w:pStyle w:val="Normal"/>
            </w:pPr>
            <w:r>
              <w:t>Summary of Treatment-Emergent Adverse Events by System Organ Class</w:t>
            </w:r>
          </w:p>
        </w:tc>
        <w:tc>
          <w:p>
            <w:pPr>
              <w:pStyle w:val="Normal"/>
            </w:pPr>
            <w:r>
              <w:t>Safety</w:t>
            </w:r>
          </w:p>
        </w:tc>
      </w:tr>
      <w:tr>
        <w:tc>
          <w:p>
            <w:pPr>
              <w:pStyle w:val="Normal"/>
            </w:pPr>
            <w:r>
              <w:t/>
            </w:r>
          </w:p>
        </w:tc>
        <w:tc>
          <w:p>
            <w:pPr>
              <w:pStyle w:val="Normal"/>
            </w:pPr>
            <w:r>
              <w:t>Summary of Treatment-Emergent Adverse Events by Preferred Term</w:t>
            </w:r>
          </w:p>
        </w:tc>
        <w:tc>
          <w:p>
            <w:pPr>
              <w:pStyle w:val="Normal"/>
            </w:pPr>
            <w:r>
              <w:t>Safety</w:t>
            </w:r>
          </w:p>
        </w:tc>
      </w:tr>
      <w:tr>
        <w:tc>
          <w:p>
            <w:pPr>
              <w:pStyle w:val="Normal"/>
            </w:pPr>
            <w:r>
              <w:t/>
            </w:r>
          </w:p>
        </w:tc>
        <w:tc>
          <w:p>
            <w:pPr>
              <w:pStyle w:val="Normal"/>
            </w:pPr>
            <w:r>
              <w:t>Summary of Treatment-Emergent Adverse Events by Maximum Severity</w:t>
            </w:r>
          </w:p>
        </w:tc>
        <w:tc>
          <w:p>
            <w:pPr>
              <w:pStyle w:val="Normal"/>
            </w:pPr>
            <w:r>
              <w:t>Safety</w:t>
            </w:r>
          </w:p>
        </w:tc>
      </w:tr>
      <w:tr>
        <w:tc>
          <w:p>
            <w:pPr>
              <w:pStyle w:val="Normal"/>
            </w:pPr>
            <w:r>
              <w:t/>
            </w:r>
          </w:p>
        </w:tc>
        <w:tc>
          <w:p>
            <w:pPr>
              <w:pStyle w:val="Normal"/>
            </w:pPr>
            <w:r>
              <w:t>Summary of Serious Treatment-Emergent Adverse Events by System Organ Class</w:t>
            </w:r>
          </w:p>
        </w:tc>
        <w:tc>
          <w:p>
            <w:pPr>
              <w:pStyle w:val="Normal"/>
            </w:pPr>
            <w:r>
              <w:t>Safety</w:t>
            </w:r>
          </w:p>
        </w:tc>
      </w:tr>
      <w:tr>
        <w:tc>
          <w:p>
            <w:pPr>
              <w:pStyle w:val="Normal"/>
            </w:pPr>
            <w:r>
              <w:t/>
            </w:r>
          </w:p>
        </w:tc>
        <w:tc>
          <w:p>
            <w:pPr>
              <w:pStyle w:val="Normal"/>
            </w:pPr>
            <w:r>
              <w:t>Analysis of the Primary Efficacy Endpoint</w:t>
            </w:r>
          </w:p>
        </w:tc>
        <w:tc>
          <w:p>
            <w:pPr>
              <w:pStyle w:val="Normal"/>
            </w:pPr>
            <w:r>
              <w:t>ITT</w:t>
            </w:r>
          </w:p>
        </w:tc>
      </w:tr>
      <w:tr>
        <w:tc>
          <w:p>
            <w:pPr>
              <w:pStyle w:val="Normal"/>
            </w:pPr>
            <w:r>
              <w:t/>
            </w:r>
          </w:p>
        </w:tc>
        <w:tc>
          <w:p>
            <w:pPr>
              <w:pStyle w:val="Normal"/>
            </w:pPr>
            <w:r>
              <w:t>Analysis of the Key Secondary Efficacy Endpoint</w:t>
            </w:r>
          </w:p>
        </w:tc>
        <w:tc>
          <w:p>
            <w:pPr>
              <w:pStyle w:val="Normal"/>
            </w:pPr>
            <w:r>
              <w:t>ITT</w:t>
            </w:r>
          </w:p>
        </w:tc>
      </w:tr>
    </w:tbl>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2026-07-05T21:07:02Z</dcterms:modified>
  <cp:category/>
</cp:coreProperties>
</file>