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STATISTICAL ANALYSIS PLAN (SAMPLE)</w:t>
      </w:r>
    </w:p>
    <w:p>
      <w:pPr>
        <w:pStyle w:val="Normal"/>
      </w:pPr>
      <w:r>
        <w:t xml:space="preserve">Study STUDY01 - A Randomised Study of Xanomeline in Dementia</w:t>
      </w:r>
    </w:p>
    <w:p>
      <w:pPr>
        <w:pStyle w:val="Normal"/>
      </w:pPr>
      <w:r>
        <w:t xml:space="preserve">Synthetic sample bundled with the ydisctools R package; outline informed by common industry SAP templates, all text original.</w:t>
      </w:r>
    </w:p>
    <w:p>
      <w:pPr>
        <w:pStyle w:val="Titre1"/>
      </w:pPr>
      <w:r>
        <w:t xml:space="preserve">1 Introduction</w:t>
      </w:r>
    </w:p>
    <w:p>
      <w:pPr>
        <w:pStyle w:val="Normal"/>
      </w:pPr>
      <w:r>
        <w:t xml:space="preserve">This statistical analysis plan describes the planned analyses for study STUDY01, a randomised, placebo-controlled study with three arms: Placebo, Xanomeline Low Dose and Xanomeline High Dose.</w:t>
      </w:r>
    </w:p>
    <w:p>
      <w:pPr>
        <w:pStyle w:val="Titre1"/>
      </w:pPr>
      <w:r>
        <w:t xml:space="preserve">2 Analysis Sets</w:t>
      </w:r>
    </w:p>
    <w:p>
      <w:pPr>
        <w:pStyle w:val="Normal"/>
      </w:pPr>
      <w:r>
        <w:t xml:space="preserve">The Safety Analysis Set comprises all subjects who received at least one dose of study drug (ADSL.SAFFL = 'Y'). The Intent-to-Treat Analysis Set comprises all randomised subjects (ADSL.ITTFL = 'Y').</w:t>
      </w:r>
    </w:p>
    <w:p>
      <w:pPr>
        <w:pStyle w:val="Titre1"/>
      </w:pPr>
      <w:r>
        <w:t xml:space="preserve">3 Statistical Methods</w:t>
      </w:r>
    </w:p>
    <w:p>
      <w:pPr>
        <w:pStyle w:val="Titre2"/>
      </w:pPr>
      <w:r>
        <w:t xml:space="preserve">3.1 Demographics and Baseline</w:t>
      </w:r>
    </w:p>
    <w:p>
      <w:pPr>
        <w:pStyle w:val="Normal"/>
      </w:pPr>
      <w:r>
        <w:t xml:space="preserve">Demographic and baseline characteristics, subject disposition and study drug exposure will be summarised by treatment group on the Safety Analysis Set using descriptive statistics.</w:t>
      </w:r>
    </w:p>
    <w:p>
      <w:pPr>
        <w:pStyle w:val="Titre2"/>
      </w:pPr>
      <w:r>
        <w:t xml:space="preserve">3.2 Efficacy</w:t>
      </w:r>
    </w:p>
    <w:p>
      <w:pPr>
        <w:pStyle w:val="Normal"/>
      </w:pPr>
      <w:r>
        <w:t xml:space="preserve">The primary endpoint will be analysed on the Intent-to-Treat Analysis Set. Details are specified per protocol; the planned display is listed in the appendix.</w:t>
      </w:r>
    </w:p>
    <w:p>
      <w:pPr>
        <w:pStyle w:val="Titre2"/>
      </w:pPr>
      <w:r>
        <w:t xml:space="preserve">3.3 Safety</w:t>
      </w:r>
    </w:p>
    <w:p>
      <w:pPr>
        <w:pStyle w:val="Normal"/>
      </w:pPr>
      <w:r>
        <w:t xml:space="preserve">Treatment-emergent adverse events (TRTEMFL = 'Y') will be summarised by treatment group: an overall summary, summaries by system organ class and by maximum severity.</w:t>
      </w:r>
    </w:p>
    <w:p>
      <w:pPr>
        <w:pStyle w:val="Titre1"/>
      </w:pPr>
      <w:r>
        <w:t xml:space="preserve">4 Appendix: Planned Displays</w:t>
      </w:r>
    </w:p>
    <w:p>
      <w:pPr>
        <w:pStyle w:val="Normal"/>
      </w:pPr>
      <w:r>
        <w:t xml:space="preserve">Display numbers will be assigned per the Acme CSR template section structure at TFL specification time.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Table No.</w:t>
            </w:r>
          </w:p>
        </w:tc>
        <w:tc>
          <w:p>
            <w:pPr>
              <w:pStyle w:val="Normal"/>
            </w:pPr>
            <w:r>
              <w:t>Title</w:t>
            </w:r>
          </w:p>
        </w:tc>
        <w:tc>
          <w:p>
            <w:pPr>
              <w:pStyle w:val="Normal"/>
            </w:pPr>
            <w:r>
              <w:t>Population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Summary of Demographic Data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Summary of Subject Disposition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Summary of Study Drug Exposure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Overall Summary of Treatment-Emergent Adverse Events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Summary of Treatment-Emergent Adverse Events by System Organ Class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Summary of Treatment-Emergent Adverse Events by Maximum Severity</w:t>
            </w:r>
          </w:p>
        </w:tc>
        <w:tc>
          <w:p>
            <w:pPr>
              <w:pStyle w:val="Normal"/>
            </w:pPr>
            <w:r>
              <w:t>Safety</w:t>
            </w:r>
          </w:p>
        </w:tc>
      </w:tr>
      <w:tr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>Primary Efficacy Analysis</w:t>
            </w:r>
          </w:p>
        </w:tc>
        <w:tc>
          <w:p>
            <w:pPr>
              <w:pStyle w:val="Normal"/>
            </w:pPr>
            <w:r>
              <w:t>ITT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2026-07-05T00:45:25Z</dcterms:modified>
  <cp:category/>
</cp:coreProperties>
</file>