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60"/>
        <w:jc w:val="center"/>
      </w:pPr>
      <w:r>
        <w:rPr>
          <w:b/>
          <w:bCs/>
          <w:color w:val="333333"/>
          <w:sz w:val="24"/>
          <w:szCs w:val="24"/>
        </w:rPr>
        <w:t xml:space="preserve">UNIVERSITE FELIX HOUPHOUET-BOIGNY D'ABIDJAN</w:t>
      </w:r>
    </w:p>
    <w:p>
      <w:pPr>
        <w:spacing w:after="80"/>
        <w:jc w:val="center"/>
      </w:pPr>
      <w:r>
        <w:rPr>
          <w:color w:val="555555"/>
          <w:sz w:val="20"/>
          <w:szCs w:val="20"/>
        </w:rPr>
        <w:t xml:space="preserve">UFR des Sciences de Structures de la Matiere et de Technologie</w:t>
      </w:r>
    </w:p>
    <w:p>
      <w:pPr>
        <w:spacing w:after="80"/>
        <w:jc w:val="center"/>
      </w:pPr>
      <w:r>
        <w:rPr>
          <w:color w:val="555555"/>
          <w:sz w:val="20"/>
          <w:szCs w:val="20"/>
        </w:rPr>
        <w:t xml:space="preserve">Master 1 — Bases de Donnees &amp; Genie Logiciel</w:t>
      </w:r>
    </w:p>
    <w:p>
      <w:r>
        <w:t xml:space="preserve"/>
      </w:r>
    </w:p>
    <w:p>
      <w:r>
        <w:t xml:space="preserve"/>
      </w:r>
    </w:p>
    <w:p>
      <w:pPr>
        <w:pBdr>
          <w:bottom w:val="single" w:color="1B5E8A" w:sz="6"/>
        </w:pBdr>
        <w:spacing w:after="120"/>
        <w:jc w:val="center"/>
      </w:pPr>
      <w:r>
        <w:rPr>
          <w:b/>
          <w:bCs/>
          <w:color w:val="1B5E8A"/>
          <w:sz w:val="28"/>
          <w:szCs w:val="28"/>
        </w:rPr>
        <w:t xml:space="preserve">RAPPORT DE TRAVAUX PRATIQUES</w:t>
      </w:r>
    </w:p>
    <w:p>
      <w:r>
        <w:t xml:space="preserve"/>
      </w:r>
    </w:p>
    <w:p>
      <w:pPr>
        <w:spacing w:after="120"/>
        <w:jc w:val="center"/>
      </w:pPr>
      <w:r>
        <w:rPr>
          <w:b/>
          <w:bCs/>
          <w:color w:val="1B5E8A"/>
          <w:sz w:val="40"/>
          <w:szCs w:val="40"/>
        </w:rPr>
        <w:t xml:space="preserve">TP2 — InfluxDB + MongoDB</w:t>
      </w:r>
    </w:p>
    <w:p>
      <w:pPr>
        <w:spacing w:after="80"/>
        <w:jc w:val="center"/>
      </w:pPr>
      <w:r>
        <w:rPr>
          <w:b/>
          <w:bCs/>
          <w:color w:val="333333"/>
          <w:sz w:val="26"/>
          <w:szCs w:val="26"/>
        </w:rPr>
        <w:t xml:space="preserve">Modelisation et Requetes sur Bases de Donnees IoT</w:t>
      </w:r>
    </w:p>
    <w:p>
      <w:pPr>
        <w:spacing w:after="200"/>
        <w:jc w:val="center"/>
      </w:pPr>
      <w:r>
        <w:rPr>
          <w:color w:val="666666"/>
          <w:sz w:val="20"/>
          <w:szCs w:val="20"/>
        </w:rPr>
        <w:t xml:space="preserve">Deploiement Docker | MongoDB | InfluxDB | Grafana | MQTT</w:t>
      </w:r>
    </w:p>
    <w:p>
      <w:r>
        <w:t xml:space="preserve"/>
      </w:r>
    </w:p>
    <w:p>
      <w:r>
        <w:t xml:space="preserve"/>
      </w:r>
    </w:p>
    <w:p>
      <w:pPr>
        <w:spacing w:after="100"/>
        <w:jc w:val="center"/>
      </w:pPr>
      <w:r>
        <w:rPr>
          <w:b/>
          <w:bCs/>
          <w:color w:val="333333"/>
          <w:sz w:val="24"/>
          <w:szCs w:val="24"/>
        </w:rPr>
        <w:t xml:space="preserve">Realise par :</w:t>
      </w:r>
    </w:p>
    <w:p>
      <w:pPr>
        <w:spacing w:after="80"/>
        <w:jc w:val="center"/>
      </w:pPr>
      <w:r>
        <w:rPr>
          <w:b/>
          <w:bCs/>
          <w:color w:val="1B5E8A"/>
          <w:sz w:val="28"/>
          <w:szCs w:val="28"/>
        </w:rPr>
        <w:t xml:space="preserve">KOUADIO KOUASSI HIPOLITE</w:t>
      </w:r>
    </w:p>
    <w:p>
      <w:pPr>
        <w:spacing w:after="80"/>
        <w:jc w:val="center"/>
      </w:pPr>
      <w:r>
        <w:rPr>
          <w:b/>
          <w:bCs/>
          <w:color w:val="1B5E8A"/>
          <w:sz w:val="28"/>
          <w:szCs w:val="28"/>
        </w:rPr>
        <w:t xml:space="preserve">ANON AMONCOU DIOM SEBASTIEN</w:t>
      </w:r>
    </w:p>
    <w:p>
      <w:pPr>
        <w:spacing w:after="160"/>
        <w:jc w:val="center"/>
      </w:pPr>
      <w:r>
        <w:rPr>
          <w:b/>
          <w:bCs/>
          <w:color w:val="1B5E8A"/>
          <w:sz w:val="28"/>
          <w:szCs w:val="28"/>
        </w:rPr>
        <w:t xml:space="preserve">COMOE EDGAR JUNIOR</w:t>
      </w:r>
    </w:p>
    <w:p>
      <w:pPr>
        <w:spacing w:after="80"/>
        <w:jc w:val="center"/>
      </w:pPr>
      <w:r>
        <w:rPr>
          <w:b/>
          <w:bCs/>
          <w:color w:val="333333"/>
          <w:sz w:val="24"/>
          <w:szCs w:val="24"/>
        </w:rPr>
        <w:t xml:space="preserve">Encadrant : Docteur KONATE</w:t>
      </w:r>
    </w:p>
    <w:p>
      <w:r>
        <w:t xml:space="preserve"/>
      </w:r>
    </w:p>
    <w:p>
      <w:pPr>
        <w:spacing w:after="80"/>
        <w:jc w:val="center"/>
      </w:pPr>
      <w:r>
        <w:rPr>
          <w:color w:val="555555"/>
          <w:sz w:val="22"/>
          <w:szCs w:val="22"/>
        </w:rPr>
        <w:t xml:space="preserve">Annee academique 2025 - 2026</w:t>
      </w:r>
    </w:p>
    <w:p>
      <w:r>
        <w:br w:type="page"/>
      </w:r>
    </w:p>
    <w:p>
      <w:pPr>
        <w:pStyle w:val="Heading1"/>
      </w:pPr>
      <w:r>
        <w:rPr>
          <w:b/>
          <w:bCs/>
          <w:color w:val="1B5E8A"/>
          <w:sz w:val="32"/>
          <w:szCs w:val="32"/>
        </w:rPr>
        <w:t xml:space="preserve">1. Introduction</w:t>
      </w:r>
    </w:p>
    <w:p>
      <w:pPr>
        <w:spacing w:after="140"/>
        <w:jc w:val="both"/>
      </w:pPr>
      <w:r>
        <w:rPr>
          <w:sz w:val="22"/>
          <w:szCs w:val="22"/>
        </w:rPr>
        <w:t xml:space="preserve">Ce rapport presente le second travail pratique du cours de Bases de Donnees IoT, realise dans le cadre du Master 1 en Bases de Donnees et Genie Logiciel de l'Universite Felix Houphouet-Boigny d'Abidjan. Ce TP s'inscrit dans la continuite du TP1, qui avait permis de deployer une stack de collecte de donnees IoT avec MQTT, Telegraf et InfluxDB.</w:t>
      </w:r>
    </w:p>
    <w:p>
      <w:r>
        <w:t xml:space="preserve"/>
      </w:r>
    </w:p>
    <w:p>
      <w:pPr>
        <w:spacing w:after="140"/>
        <w:jc w:val="both"/>
      </w:pPr>
      <w:r>
        <w:rPr>
          <w:sz w:val="22"/>
          <w:szCs w:val="22"/>
        </w:rPr>
        <w:t xml:space="preserve">Le TP2 vise a etendre cette infrastructure en integrant MongoDB, une base de donnees NoSQL orientee documents, afin de completer la solution de gestion de donnees IoT. L'objectif principal est de concevoir un modele de donnees adapte au contexte IoT des communes d'Abidjan, de creer des collections avec validation par schema JSON, de definir des index performants, et d'executer des requetes d'analyse sur les donnees collectees.</w:t>
      </w:r>
    </w:p>
    <w:p>
      <w:r>
        <w:t xml:space="preserve"/>
      </w:r>
    </w:p>
    <w:p>
      <w:pPr>
        <w:pStyle w:val="Heading2"/>
      </w:pPr>
      <w:r>
        <w:rPr>
          <w:b/>
          <w:bCs/>
          <w:color w:val="1B5E8A"/>
          <w:sz w:val="26"/>
          <w:szCs w:val="26"/>
        </w:rPr>
        <w:t xml:space="preserve">1.1 Objectifs du TP2</w:t>
      </w:r>
    </w:p>
    <w:p>
      <w:pPr>
        <w:pStyle w:val="ListParagraph"/>
        <w:numPr>
          <w:ilvl w:val="0"/>
          <w:numId w:val="2"/>
        </w:numPr>
        <w:spacing w:after="80"/>
      </w:pPr>
      <w:r>
        <w:rPr>
          <w:sz w:val="22"/>
          <w:szCs w:val="22"/>
        </w:rPr>
        <w:t xml:space="preserve">Deployer une stack IoT complete avec 6 services Docker orchestres</w:t>
      </w:r>
    </w:p>
    <w:p>
      <w:pPr>
        <w:pStyle w:val="ListParagraph"/>
        <w:numPr>
          <w:ilvl w:val="0"/>
          <w:numId w:val="2"/>
        </w:numPr>
        <w:spacing w:after="80"/>
      </w:pPr>
      <w:r>
        <w:rPr>
          <w:sz w:val="22"/>
          <w:szCs w:val="22"/>
        </w:rPr>
        <w:t xml:space="preserve">Modeliser les donnees IoT avec MongoDB (collections + validation JSON Schema)</w:t>
      </w:r>
    </w:p>
    <w:p>
      <w:pPr>
        <w:pStyle w:val="ListParagraph"/>
        <w:numPr>
          <w:ilvl w:val="0"/>
          <w:numId w:val="2"/>
        </w:numPr>
        <w:spacing w:after="80"/>
      </w:pPr>
      <w:r>
        <w:rPr>
          <w:sz w:val="22"/>
          <w:szCs w:val="22"/>
        </w:rPr>
        <w:t xml:space="preserve">Creer des index performants pour optimiser les requetes</w:t>
      </w:r>
    </w:p>
    <w:p>
      <w:pPr>
        <w:pStyle w:val="ListParagraph"/>
        <w:numPr>
          <w:ilvl w:val="0"/>
          <w:numId w:val="2"/>
        </w:numPr>
        <w:spacing w:after="80"/>
      </w:pPr>
      <w:r>
        <w:rPr>
          <w:sz w:val="22"/>
          <w:szCs w:val="22"/>
        </w:rPr>
        <w:t xml:space="preserve">Inserer des donnees simulant des capteurs dans 5 communes d'Abidjan</w:t>
      </w:r>
    </w:p>
    <w:p>
      <w:pPr>
        <w:pStyle w:val="ListParagraph"/>
        <w:numPr>
          <w:ilvl w:val="0"/>
          <w:numId w:val="2"/>
        </w:numPr>
        <w:spacing w:after="80"/>
      </w:pPr>
      <w:r>
        <w:rPr>
          <w:sz w:val="22"/>
          <w:szCs w:val="22"/>
        </w:rPr>
        <w:t xml:space="preserve">Executer et analyser 5 requetes MongoDB (Q1 a Q5)</w:t>
      </w:r>
    </w:p>
    <w:p>
      <w:pPr>
        <w:pStyle w:val="ListParagraph"/>
        <w:numPr>
          <w:ilvl w:val="0"/>
          <w:numId w:val="2"/>
        </w:numPr>
        <w:spacing w:after="80"/>
      </w:pPr>
      <w:r>
        <w:rPr>
          <w:sz w:val="22"/>
          <w:szCs w:val="22"/>
        </w:rPr>
        <w:t xml:space="preserve">Pousser le projet complet sur un depot GitHub</w:t>
      </w:r>
    </w:p>
    <w:p>
      <w:r>
        <w:br w:type="page"/>
      </w:r>
    </w:p>
    <w:p>
      <w:pPr>
        <w:pStyle w:val="Heading1"/>
      </w:pPr>
      <w:r>
        <w:rPr>
          <w:b/>
          <w:bCs/>
          <w:color w:val="1B5E8A"/>
          <w:sz w:val="32"/>
          <w:szCs w:val="32"/>
        </w:rPr>
        <w:t xml:space="preserve">2. Architecture de la Stack IoT</w:t>
      </w:r>
    </w:p>
    <w:p>
      <w:pPr>
        <w:spacing w:after="140"/>
        <w:jc w:val="both"/>
      </w:pPr>
      <w:r>
        <w:rPr>
          <w:sz w:val="22"/>
          <w:szCs w:val="22"/>
        </w:rPr>
        <w:t xml:space="preserve">La stack TP2 est une extension directe du TP1. Elle integre 6 conteneurs Docker orchestres via Docker Compose, couvrant la collecte, le stockage temporel, le stockage documentaire et la visualisation des donnees IoT.</w:t>
      </w:r>
    </w:p>
    <w:p>
      <w:r>
        <w:t xml:space="preserve"/>
      </w:r>
    </w:p>
    <w:p>
      <w:pPr>
        <w:pStyle w:val="Heading2"/>
      </w:pPr>
      <w:r>
        <w:rPr>
          <w:b/>
          <w:bCs/>
          <w:color w:val="1B5E8A"/>
          <w:sz w:val="26"/>
          <w:szCs w:val="26"/>
        </w:rPr>
        <w:t xml:space="preserve">2.1 Services deployes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1B5E8A" w:sz="1"/>
              <w:left w:val="single" w:color="1B5E8A" w:sz="1"/>
              <w:bottom w:val="single" w:color="1B5E8A" w:sz="1"/>
              <w:right w:val="single" w:color="1B5E8A" w:sz="1"/>
            </w:tcBorders>
            <w:shd w:fill="1B5E8A" w:val="clear"/>
            <w:tcMar>
              <w:top w:type="dxa" w:w="80"/>
              <w:left w:type="dxa" w:w="120"/>
              <w:bottom w:type="dxa" w:w="80"/>
              <w:right w:type="dxa" w:w="120"/>
            </w:tcMar>
            <w:vAlign w:val="center"/>
          </w:tcPr>
          <w:p>
            <w:pPr>
              <w:jc w:val="center"/>
            </w:pPr>
            <w:r>
              <w:rPr>
                <w:b/>
                <w:bCs/>
                <w:color w:val="FFFFFF"/>
                <w:sz w:val="20"/>
                <w:szCs w:val="20"/>
              </w:rPr>
              <w:t xml:space="preserve">Service</w:t>
            </w:r>
          </w:p>
        </w:tc>
        <w:tc>
          <w:tcPr>
            <w:tcW w:type="dxa" w:w="1400"/>
            <w:tcBorders>
              <w:top w:val="single" w:color="1B5E8A" w:sz="1"/>
              <w:left w:val="single" w:color="1B5E8A" w:sz="1"/>
              <w:bottom w:val="single" w:color="1B5E8A" w:sz="1"/>
              <w:right w:val="single" w:color="1B5E8A" w:sz="1"/>
            </w:tcBorders>
            <w:shd w:fill="1B5E8A" w:val="clear"/>
            <w:tcMar>
              <w:top w:type="dxa" w:w="80"/>
              <w:left w:type="dxa" w:w="120"/>
              <w:bottom w:type="dxa" w:w="80"/>
              <w:right w:type="dxa" w:w="120"/>
            </w:tcMar>
            <w:vAlign w:val="center"/>
          </w:tcPr>
          <w:p>
            <w:pPr>
              <w:jc w:val="center"/>
            </w:pPr>
            <w:r>
              <w:rPr>
                <w:b/>
                <w:bCs/>
                <w:color w:val="FFFFFF"/>
                <w:sz w:val="20"/>
                <w:szCs w:val="20"/>
              </w:rPr>
              <w:t xml:space="preserve">Port</w:t>
            </w:r>
          </w:p>
        </w:tc>
        <w:tc>
          <w:tcPr>
            <w:tcW w:type="dxa" w:w="5960"/>
            <w:tcBorders>
              <w:top w:val="single" w:color="1B5E8A" w:sz="1"/>
              <w:left w:val="single" w:color="1B5E8A" w:sz="1"/>
              <w:bottom w:val="single" w:color="1B5E8A" w:sz="1"/>
              <w:right w:val="single" w:color="1B5E8A" w:sz="1"/>
            </w:tcBorders>
            <w:shd w:fill="1B5E8A" w:val="clear"/>
            <w:tcMar>
              <w:top w:type="dxa" w:w="80"/>
              <w:left w:type="dxa" w:w="120"/>
              <w:bottom w:type="dxa" w:w="80"/>
              <w:right w:type="dxa" w:w="120"/>
            </w:tcMar>
            <w:vAlign w:val="center"/>
          </w:tcPr>
          <w:p>
            <w:pPr>
              <w:jc w:val="center"/>
            </w:pPr>
            <w:r>
              <w:rPr>
                <w:b/>
                <w:bCs/>
                <w:color w:val="FFFFFF"/>
                <w:sz w:val="20"/>
                <w:szCs w:val="20"/>
              </w:rPr>
              <w:t xml:space="preserve">Role dans l'architecture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mosquitto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1883 / 9001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Broker MQTT — recoit les messages des capteurs ESP32 via le protocole MQTT/WebSockets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telegraf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Agent de collecte — souscrit aux topics MQTT et transfere les donnees vers InfluxDB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influxdb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8086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Base de donnees temporelle — stocke les series temporelles (retention 7 jours, bucket raw_7d)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mongodb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27017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Base de donnees documentaire NoSQL — metadonnees des devices et evenements IoT avec schema 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mongo-express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8081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Interface web MongoDB — administration visuelle des collections et 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grafana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3000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Tableau de bord — visualisation temps reel des donnees depuis InfluxDB et MongoDB</w:t>
            </w:r>
          </w:p>
        </w:tc>
      </w:tr>
    </w:tbl>
    <w:p>
      <w:r>
        <w:t xml:space="preserve"/>
      </w:r>
    </w:p>
    <w:p>
      <w:pPr>
        <w:pStyle w:val="Heading2"/>
      </w:pPr>
      <w:r>
        <w:rPr>
          <w:b/>
          <w:bCs/>
          <w:color w:val="1B5E8A"/>
          <w:sz w:val="26"/>
          <w:szCs w:val="26"/>
        </w:rPr>
        <w:t xml:space="preserve">2.2 Flux de donnees</w:t>
      </w:r>
    </w:p>
    <w:p>
      <w:pPr>
        <w:spacing w:after="140"/>
        <w:jc w:val="both"/>
      </w:pPr>
      <w:r>
        <w:rPr>
          <w:sz w:val="22"/>
          <w:szCs w:val="22"/>
        </w:rPr>
        <w:t xml:space="preserve">Le flux de donnees suit le chemin suivant : les capteurs ESP32 publient des mesures (temperature, humidite) sur le broker Mosquitto via le topic iot/CI/abidjan/#. Telegraf recupere ces donnees et les insere dans InfluxDB pour le stockage temporel haute frequence. En parallele, MongoDB stocke les metadonnees des dispositifs (localisation, type, statut) et les evenements enrichis pour les analyses historiques. Grafana agregre les donnees des deux bases pour produire des tableaux de bord complets.</w:t>
      </w:r>
    </w:p>
    <w:p>
      <w:r>
        <w:t xml:space="preserve"/>
      </w:r>
    </w:p>
    <w:p>
      <w:pPr>
        <w:pStyle w:val="Heading2"/>
      </w:pPr>
      <w:r>
        <w:rPr>
          <w:b/>
          <w:bCs/>
          <w:color w:val="1B5E8A"/>
          <w:sz w:val="26"/>
          <w:szCs w:val="26"/>
        </w:rPr>
        <w:t xml:space="preserve">2.3 Configuration Docker Compose</w:t>
      </w:r>
    </w:p>
    <w:p>
      <w:pPr>
        <w:spacing w:after="140"/>
        <w:jc w:val="both"/>
      </w:pPr>
      <w:r>
        <w:rPr>
          <w:sz w:val="22"/>
          <w:szCs w:val="22"/>
        </w:rPr>
        <w:t xml:space="preserve">Le fichier docker-compose.yml definit les 6 services avec leurs volumes persistants, reseaux et dependances. Les donnees MongoDB sont stockees dans un volume nomme mongo_data pour la persistance. Le reseau tp2_iot_abidjan_default permet la communication entre tous les conteneurs par nom de service.</w:t>
      </w:r>
    </w:p>
    <w:p>
      <w:r>
        <w:br w:type="page"/>
      </w:r>
    </w:p>
    <w:p>
      <w:pPr>
        <w:pStyle w:val="Heading1"/>
      </w:pPr>
      <w:r>
        <w:rPr>
          <w:b/>
          <w:bCs/>
          <w:color w:val="1B5E8A"/>
          <w:sz w:val="32"/>
          <w:szCs w:val="32"/>
        </w:rPr>
        <w:t xml:space="preserve">3. Modelisation des Donnees MongoDB</w:t>
      </w:r>
    </w:p>
    <w:p>
      <w:pPr>
        <w:pStyle w:val="Heading2"/>
      </w:pPr>
      <w:r>
        <w:rPr>
          <w:b/>
          <w:bCs/>
          <w:color w:val="1B5E8A"/>
          <w:sz w:val="26"/>
          <w:szCs w:val="26"/>
        </w:rPr>
        <w:t xml:space="preserve">3.1 Collection devices — Metadonnees des capteurs</w:t>
      </w:r>
    </w:p>
    <w:p>
      <w:pPr>
        <w:spacing w:after="140"/>
        <w:jc w:val="both"/>
      </w:pPr>
      <w:r>
        <w:rPr>
          <w:sz w:val="22"/>
          <w:szCs w:val="22"/>
        </w:rPr>
        <w:t xml:space="preserve">La collection devices stocke les metadonnees des capteurs IoT deployes dans les differentes communes d'Abidjan. Elle est protegee par un schema de validation JSON Schema qui garantit l'integrite des donnees insourees.</w:t>
      </w:r>
    </w:p>
    <w:p>
      <w:r>
        <w:t xml:space="preserve"/>
      </w:r>
    </w:p>
    <w:p>
      <w:pPr>
        <w:spacing w:after="140"/>
        <w:jc w:val="both"/>
      </w:pPr>
      <w:r>
        <w:rPr>
          <w:sz w:val="22"/>
          <w:szCs w:val="22"/>
        </w:rPr>
        <w:t xml:space="preserve">Champs obligatoires (required) :</w:t>
      </w:r>
    </w:p>
    <w:p>
      <w:pPr>
        <w:pStyle w:val="ListParagraph"/>
        <w:numPr>
          <w:ilvl w:val="0"/>
          <w:numId w:val="2"/>
        </w:numPr>
        <w:spacing w:after="80"/>
      </w:pPr>
      <w:r>
        <w:rPr>
          <w:sz w:val="22"/>
          <w:szCs w:val="22"/>
        </w:rPr>
        <w:t xml:space="preserve">device_id (bsonType: string) : identifiant unique — ex: ESP32_001</w:t>
      </w:r>
    </w:p>
    <w:p>
      <w:pPr>
        <w:pStyle w:val="ListParagraph"/>
        <w:numPr>
          <w:ilvl w:val="0"/>
          <w:numId w:val="2"/>
        </w:numPr>
        <w:spacing w:after="80"/>
      </w:pPr>
      <w:r>
        <w:rPr>
          <w:sz w:val="22"/>
          <w:szCs w:val="22"/>
        </w:rPr>
        <w:t xml:space="preserve">type (bsonType: string) : modele du capteur — ex: DHT22</w:t>
      </w:r>
    </w:p>
    <w:p>
      <w:pPr>
        <w:pStyle w:val="ListParagraph"/>
        <w:numPr>
          <w:ilvl w:val="0"/>
          <w:numId w:val="2"/>
        </w:numPr>
        <w:spacing w:after="80"/>
      </w:pPr>
      <w:r>
        <w:rPr>
          <w:sz w:val="22"/>
          <w:szCs w:val="22"/>
        </w:rPr>
        <w:t xml:space="preserve">location (bsonType: string) : commune de deploiement</w:t>
      </w:r>
    </w:p>
    <w:p>
      <w:pPr>
        <w:pStyle w:val="ListParagraph"/>
        <w:numPr>
          <w:ilvl w:val="0"/>
          <w:numId w:val="2"/>
        </w:numPr>
        <w:spacing w:after="80"/>
      </w:pPr>
      <w:r>
        <w:rPr>
          <w:sz w:val="22"/>
          <w:szCs w:val="22"/>
        </w:rPr>
        <w:t xml:space="preserve">status (bsonType: string) : etat du device, enum [active, inactive, maintenance]</w:t>
      </w:r>
    </w:p>
    <w:p>
      <w:r>
        <w:t xml:space="preserve"/>
      </w:r>
    </w:p>
    <w:p>
      <w:pPr>
        <w:spacing w:after="140"/>
        <w:jc w:val="both"/>
      </w:pPr>
      <w:r>
        <w:rPr>
          <w:sz w:val="22"/>
          <w:szCs w:val="22"/>
        </w:rPr>
        <w:t xml:space="preserve">Les 5 devices inseres representent les communes de Cocody (ESP32_001), Plateau (ESP32_002), Yopougon (ESP32_003), Abobo (ESP32_004) et Koumassi (ESP32_005).</w:t>
      </w:r>
    </w:p>
    <w:p>
      <w:r>
        <w:t xml:space="preserve"/>
      </w:r>
    </w:p>
    <w:p>
      <w:pPr>
        <w:pStyle w:val="Heading2"/>
      </w:pPr>
      <w:r>
        <w:rPr>
          <w:b/>
          <w:bCs/>
          <w:color w:val="1B5E8A"/>
          <w:sz w:val="26"/>
          <w:szCs w:val="26"/>
        </w:rPr>
        <w:t xml:space="preserve">3.2 Collection events — Evenements IoT</w:t>
      </w:r>
    </w:p>
    <w:p>
      <w:pPr>
        <w:spacing w:after="140"/>
        <w:jc w:val="both"/>
      </w:pPr>
      <w:r>
        <w:rPr>
          <w:sz w:val="22"/>
          <w:szCs w:val="22"/>
        </w:rPr>
        <w:t xml:space="preserve">La collection events stocke les evenements de mesure des capteurs avec une validation stricte du schema. La contrainte bsonType [double, int] a ete choisie pour accepter les valeurs numeriques produites par les capteurs reels tout en maintenant la coherence des donnees.</w:t>
      </w:r>
    </w:p>
    <w:p>
      <w:r>
        <w:t xml:space="preserve"/>
      </w:r>
    </w:p>
    <w:p>
      <w:pPr>
        <w:spacing w:after="140"/>
        <w:jc w:val="both"/>
      </w:pPr>
      <w:r>
        <w:rPr>
          <w:sz w:val="22"/>
          <w:szCs w:val="22"/>
        </w:rPr>
        <w:t xml:space="preserve">Champs obliges :</w:t>
      </w:r>
    </w:p>
    <w:p>
      <w:pPr>
        <w:pStyle w:val="ListParagraph"/>
        <w:numPr>
          <w:ilvl w:val="0"/>
          <w:numId w:val="2"/>
        </w:numPr>
        <w:spacing w:after="80"/>
      </w:pPr>
      <w:r>
        <w:rPr>
          <w:sz w:val="22"/>
          <w:szCs w:val="22"/>
        </w:rPr>
        <w:t xml:space="preserve">device_id (string) : reference au capteur emetteur</w:t>
      </w:r>
    </w:p>
    <w:p>
      <w:pPr>
        <w:pStyle w:val="ListParagraph"/>
        <w:numPr>
          <w:ilvl w:val="0"/>
          <w:numId w:val="2"/>
        </w:numPr>
        <w:spacing w:after="80"/>
      </w:pPr>
      <w:r>
        <w:rPr>
          <w:sz w:val="22"/>
          <w:szCs w:val="22"/>
        </w:rPr>
        <w:t xml:space="preserve">timestamp (date) : horodatage ISO de la mesure</w:t>
      </w:r>
    </w:p>
    <w:p>
      <w:pPr>
        <w:pStyle w:val="ListParagraph"/>
        <w:numPr>
          <w:ilvl w:val="0"/>
          <w:numId w:val="2"/>
        </w:numPr>
        <w:spacing w:after="80"/>
      </w:pPr>
      <w:r>
        <w:rPr>
          <w:sz w:val="22"/>
          <w:szCs w:val="22"/>
        </w:rPr>
        <w:t xml:space="preserve">temperature (double/int) : valeur en degres Celsius</w:t>
      </w:r>
    </w:p>
    <w:p>
      <w:pPr>
        <w:pStyle w:val="ListParagraph"/>
        <w:numPr>
          <w:ilvl w:val="0"/>
          <w:numId w:val="2"/>
        </w:numPr>
        <w:spacing w:after="80"/>
      </w:pPr>
      <w:r>
        <w:rPr>
          <w:sz w:val="22"/>
          <w:szCs w:val="22"/>
        </w:rPr>
        <w:t xml:space="preserve">humidity (double/int) : taux d'humidite en pourcentage</w:t>
      </w:r>
    </w:p>
    <w:p>
      <w:pPr>
        <w:pStyle w:val="ListParagraph"/>
        <w:numPr>
          <w:ilvl w:val="0"/>
          <w:numId w:val="2"/>
        </w:numPr>
        <w:spacing w:after="80"/>
      </w:pPr>
      <w:r>
        <w:rPr>
          <w:sz w:val="22"/>
          <w:szCs w:val="22"/>
        </w:rPr>
        <w:t xml:space="preserve">location (string) : commune du capteur au moment de la mesure</w:t>
      </w:r>
    </w:p>
    <w:p>
      <w:r>
        <w:t xml:space="preserve"/>
      </w:r>
    </w:p>
    <w:p>
      <w:pPr>
        <w:spacing w:after="140"/>
        <w:jc w:val="both"/>
      </w:pPr>
      <w:r>
        <w:rPr>
          <w:sz w:val="22"/>
          <w:szCs w:val="22"/>
        </w:rPr>
        <w:t xml:space="preserve">50 evenements realistes ont ete inseres, couvrant 48 heures de mesures pour les 5 devices avec des temperatures variant de 25 degres C (Cocody) a 31.3 degres C (Koumassi), reflétant les conditions climatiques reelles d'Abidjan.</w:t>
      </w:r>
    </w:p>
    <w:p>
      <w:r>
        <w:t xml:space="preserve"/>
      </w:r>
    </w:p>
    <w:p>
      <w:pPr>
        <w:pStyle w:val="Heading2"/>
      </w:pPr>
      <w:r>
        <w:rPr>
          <w:b/>
          <w:bCs/>
          <w:color w:val="1B5E8A"/>
          <w:sz w:val="26"/>
          <w:szCs w:val="26"/>
        </w:rPr>
        <w:t xml:space="preserve">3.3 Index et optimisation des requetes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B5E8A" w:sz="1"/>
              <w:left w:val="single" w:color="1B5E8A" w:sz="1"/>
              <w:bottom w:val="single" w:color="1B5E8A" w:sz="1"/>
              <w:right w:val="single" w:color="1B5E8A" w:sz="1"/>
            </w:tcBorders>
            <w:shd w:fill="1B5E8A" w:val="clear"/>
            <w:tcMar>
              <w:top w:type="dxa" w:w="80"/>
              <w:left w:type="dxa" w:w="120"/>
              <w:bottom w:type="dxa" w:w="80"/>
              <w:right w:type="dxa" w:w="120"/>
            </w:tcMar>
            <w:vAlign w:val="center"/>
          </w:tcPr>
          <w:p>
            <w:pPr>
              <w:jc w:val="center"/>
            </w:pPr>
            <w:r>
              <w:rPr>
                <w:b/>
                <w:bCs/>
                <w:color w:val="FFFFFF"/>
                <w:sz w:val="20"/>
                <w:szCs w:val="20"/>
              </w:rPr>
              <w:t xml:space="preserve">Collection</w:t>
            </w:r>
          </w:p>
        </w:tc>
        <w:tc>
          <w:tcPr>
            <w:tcW w:type="dxa" w:w="2200"/>
            <w:tcBorders>
              <w:top w:val="single" w:color="1B5E8A" w:sz="1"/>
              <w:left w:val="single" w:color="1B5E8A" w:sz="1"/>
              <w:bottom w:val="single" w:color="1B5E8A" w:sz="1"/>
              <w:right w:val="single" w:color="1B5E8A" w:sz="1"/>
            </w:tcBorders>
            <w:shd w:fill="1B5E8A" w:val="clear"/>
            <w:tcMar>
              <w:top w:type="dxa" w:w="80"/>
              <w:left w:type="dxa" w:w="120"/>
              <w:bottom w:type="dxa" w:w="80"/>
              <w:right w:type="dxa" w:w="120"/>
            </w:tcMar>
            <w:vAlign w:val="center"/>
          </w:tcPr>
          <w:p>
            <w:pPr>
              <w:jc w:val="center"/>
            </w:pPr>
            <w:r>
              <w:rPr>
                <w:b/>
                <w:bCs/>
                <w:color w:val="FFFFFF"/>
                <w:sz w:val="20"/>
                <w:szCs w:val="20"/>
              </w:rPr>
              <w:t xml:space="preserve">Index</w:t>
            </w:r>
          </w:p>
        </w:tc>
        <w:tc>
          <w:tcPr>
            <w:tcW w:type="dxa" w:w="5160"/>
            <w:tcBorders>
              <w:top w:val="single" w:color="1B5E8A" w:sz="1"/>
              <w:left w:val="single" w:color="1B5E8A" w:sz="1"/>
              <w:bottom w:val="single" w:color="1B5E8A" w:sz="1"/>
              <w:right w:val="single" w:color="1B5E8A" w:sz="1"/>
            </w:tcBorders>
            <w:shd w:fill="1B5E8A" w:val="clear"/>
            <w:tcMar>
              <w:top w:type="dxa" w:w="80"/>
              <w:left w:type="dxa" w:w="120"/>
              <w:bottom w:type="dxa" w:w="80"/>
              <w:right w:type="dxa" w:w="120"/>
            </w:tcMar>
            <w:vAlign w:val="center"/>
          </w:tcPr>
          <w:p>
            <w:pPr>
              <w:jc w:val="center"/>
            </w:pPr>
            <w:r>
              <w:rPr>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devices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device_id (unique)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Garantit l'unicite des identifiants, IXSCAN optimal sur les recherches par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devices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location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Accelère les filtres geographiques par commune pour les requetes analytiques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devices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status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Optimise les requetes sur le statut actif/inactif des capteurs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events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device_id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Accelère la recherche des evenements par capteur (Q1, Q4)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events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timestamp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Optimise les requetes temporelles du plus recent au plus ancien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events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device_id + 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Index compose ESR — meilleure performance globale pour les requetes combines (Q1, Q5)</w:t>
            </w:r>
          </w:p>
        </w:tc>
      </w:tr>
    </w:tbl>
    <w:p>
      <w:r>
        <w:br w:type="page"/>
      </w:r>
    </w:p>
    <w:p>
      <w:pPr>
        <w:pStyle w:val="Heading1"/>
      </w:pPr>
      <w:r>
        <w:rPr>
          <w:b/>
          <w:bCs/>
          <w:color w:val="1B5E8A"/>
          <w:sz w:val="32"/>
          <w:szCs w:val="32"/>
        </w:rPr>
        <w:t xml:space="preserve">4. Requetes MongoDB Q1 a Q5 — Resultats et Analyse</w:t>
      </w:r>
    </w:p>
    <w:p>
      <w:pPr>
        <w:pStyle w:val="Heading2"/>
      </w:pPr>
      <w:r>
        <w:rPr>
          <w:b/>
          <w:bCs/>
          <w:color w:val="1B5E8A"/>
          <w:sz w:val="26"/>
          <w:szCs w:val="26"/>
        </w:rPr>
        <w:t xml:space="preserve">4.1 Q1 — Derniers evenements par device</w:t>
      </w:r>
    </w:p>
    <w:p>
      <w:pPr>
        <w:spacing w:after="140"/>
        <w:jc w:val="both"/>
      </w:pPr>
      <w:r>
        <w:rPr>
          <w:sz w:val="22"/>
          <w:szCs w:val="22"/>
        </w:rPr>
        <w:t xml:space="preserve">Cette requete recupere les evenements du device ESP32_001 tries par timestamp decroissant. Elle exploite l'index compose device_id + timestamp pour une recherche IXSCAN optimisee. Les 10 resultats couvrent 48 heures de mesures avec des temperatures alternant entre 25 et 28.5 degres C.</w:t>
      </w:r>
    </w:p>
    <w:p>
      <w:r>
        <w:t xml:space="preserve"/>
      </w:r>
    </w:p>
    <w:p>
      <w:pPr>
        <w:pStyle w:val="Heading2"/>
      </w:pPr>
      <w:r>
        <w:rPr>
          <w:b/>
          <w:bCs/>
          <w:color w:val="1B5E8A"/>
          <w:sz w:val="26"/>
          <w:szCs w:val="26"/>
        </w:rPr>
        <w:t xml:space="preserve">4.2 Q2 — Moyenne de temperature par commune</w:t>
      </w:r>
    </w:p>
    <w:p>
      <w:pPr>
        <w:spacing w:after="140"/>
        <w:jc w:val="both"/>
      </w:pPr>
      <w:r>
        <w:rPr>
          <w:sz w:val="22"/>
          <w:szCs w:val="22"/>
        </w:rPr>
        <w:t xml:space="preserve">Cette requete d'agregation utilise $group et $sort pour calculer la temperature moyenne par commune. Les resultats demontrent un gradient thermique Nord-Sud :</w:t>
      </w:r>
    </w:p>
    <w:p>
      <w:pPr>
        <w:pStyle w:val="ListParagraph"/>
        <w:numPr>
          <w:ilvl w:val="0"/>
          <w:numId w:val="2"/>
        </w:numPr>
        <w:spacing w:after="80"/>
      </w:pPr>
      <w:r>
        <w:rPr>
          <w:sz w:val="22"/>
          <w:szCs w:val="22"/>
        </w:rPr>
        <w:t xml:space="preserve">Koumassi : 29.55 C — commune la plus chaude (zone cotiere Sud)</w:t>
      </w:r>
    </w:p>
    <w:p>
      <w:pPr>
        <w:pStyle w:val="ListParagraph"/>
        <w:numPr>
          <w:ilvl w:val="0"/>
          <w:numId w:val="2"/>
        </w:numPr>
        <w:spacing w:after="80"/>
      </w:pPr>
      <w:r>
        <w:rPr>
          <w:sz w:val="22"/>
          <w:szCs w:val="22"/>
        </w:rPr>
        <w:t xml:space="preserve">Abobo : 28.85 C</w:t>
      </w:r>
    </w:p>
    <w:p>
      <w:pPr>
        <w:pStyle w:val="ListParagraph"/>
        <w:numPr>
          <w:ilvl w:val="0"/>
          <w:numId w:val="2"/>
        </w:numPr>
        <w:spacing w:after="80"/>
      </w:pPr>
      <w:r>
        <w:rPr>
          <w:sz w:val="22"/>
          <w:szCs w:val="22"/>
        </w:rPr>
        <w:t xml:space="preserve">Yopougon : 28.15 C</w:t>
      </w:r>
    </w:p>
    <w:p>
      <w:pPr>
        <w:pStyle w:val="ListParagraph"/>
        <w:numPr>
          <w:ilvl w:val="0"/>
          <w:numId w:val="2"/>
        </w:numPr>
        <w:spacing w:after="80"/>
      </w:pPr>
      <w:r>
        <w:rPr>
          <w:sz w:val="22"/>
          <w:szCs w:val="22"/>
        </w:rPr>
        <w:t xml:space="preserve">Plateau : 27.45 C</w:t>
      </w:r>
    </w:p>
    <w:p>
      <w:pPr>
        <w:pStyle w:val="ListParagraph"/>
        <w:numPr>
          <w:ilvl w:val="0"/>
          <w:numId w:val="2"/>
        </w:numPr>
        <w:spacing w:after="80"/>
      </w:pPr>
      <w:r>
        <w:rPr>
          <w:sz w:val="22"/>
          <w:szCs w:val="22"/>
        </w:rPr>
        <w:t xml:space="preserve">Cocody : 26.75 C — commune la plus fraiche (zone residentielle Nord)</w:t>
      </w:r>
    </w:p>
    <w:p>
      <w:r>
        <w:t xml:space="preserve"/>
      </w:r>
    </w:p>
    <w:p>
      <w:pPr>
        <w:pStyle w:val="Heading2"/>
      </w:pPr>
      <w:r>
        <w:rPr>
          <w:b/>
          <w:bCs/>
          <w:color w:val="1B5E8A"/>
          <w:sz w:val="26"/>
          <w:szCs w:val="26"/>
        </w:rPr>
        <w:t xml:space="preserve">4.3 Q3 — Alertes temperature superieure a 30 degres C</w:t>
      </w:r>
    </w:p>
    <w:p>
      <w:pPr>
        <w:spacing w:after="140"/>
        <w:jc w:val="both"/>
      </w:pPr>
      <w:r>
        <w:rPr>
          <w:sz w:val="22"/>
          <w:szCs w:val="22"/>
        </w:rPr>
        <w:t xml:space="preserve">Cette requete identifie les evenements depassant le seuil critique de 30 degres C. 10 alertes ont ete detectees : 5 pour Koumassi (31.3 C) et 5 pour Abobo (30.6 C). Ces alertes sont essentielles pour la gestion de l'infrastructure urbaine et la prevention des risques sanitaires.</w:t>
      </w:r>
    </w:p>
    <w:p>
      <w:r>
        <w:t xml:space="preserve"/>
      </w:r>
    </w:p>
    <w:p>
      <w:pPr>
        <w:pStyle w:val="Heading2"/>
      </w:pPr>
      <w:r>
        <w:rPr>
          <w:b/>
          <w:bCs/>
          <w:color w:val="1B5E8A"/>
          <w:sz w:val="26"/>
          <w:szCs w:val="26"/>
        </w:rPr>
        <w:t xml:space="preserve">4.4 Q4 — Devices actifs et nombre d'evenements associes</w:t>
      </w:r>
    </w:p>
    <w:p>
      <w:pPr>
        <w:spacing w:after="140"/>
        <w:jc w:val="both"/>
      </w:pPr>
      <w:r>
        <w:rPr>
          <w:sz w:val="22"/>
          <w:szCs w:val="22"/>
        </w:rPr>
        <w:t xml:space="preserve">Cette requete utilise $lookup pour joindre les collections devices et events avec un $match sur status: active. Seuls 3 devices actifs sont retournes (ESP32_001 Cocody, ESP32_002 Plateau, ESP32_004 Abobo), chacun associe a 10 evenements. Les devices ESP32_003 (inactive) et ESP32_005 (maintenance) sont exclus.</w:t>
      </w:r>
    </w:p>
    <w:p>
      <w:r>
        <w:t xml:space="preserve"/>
      </w:r>
    </w:p>
    <w:p>
      <w:pPr>
        <w:pStyle w:val="Heading2"/>
      </w:pPr>
      <w:r>
        <w:rPr>
          <w:b/>
          <w:bCs/>
          <w:color w:val="1B5E8A"/>
          <w:sz w:val="26"/>
          <w:szCs w:val="26"/>
        </w:rPr>
        <w:t xml:space="preserve">4.5 Q5 — Statistiques min/max/avg par device sur 24 heures</w:t>
      </w:r>
    </w:p>
    <w:p>
      <w:pPr>
        <w:spacing w:after="140"/>
        <w:jc w:val="both"/>
      </w:pPr>
      <w:r>
        <w:rPr>
          <w:sz w:val="22"/>
          <w:szCs w:val="22"/>
        </w:rPr>
        <w:t xml:space="preserve">Cette requete d'agregation calcule les statistiques de temperature ($min, $max, $avg) sur la derniere fenetre de 24 heures. Les resultats revelent une progression thermique coherente : ESP32_001 (25/28.5/26.4 C), ESP32_002 (25.7/29.2/27.1 C), ESP32_003 (26.4/29.9/27.8 C), ESP32_004 (27.1/30.6/28.5 C), ESP32_005 (27.8/31.3/29.55 C — 4 mesures).</w:t>
      </w:r>
    </w:p>
    <w:p>
      <w:r>
        <w:br w:type="page"/>
      </w:r>
    </w:p>
    <w:p>
      <w:pPr>
        <w:pStyle w:val="Heading1"/>
      </w:pPr>
      <w:r>
        <w:rPr>
          <w:b/>
          <w:bCs/>
          <w:color w:val="1B5E8A"/>
          <w:sz w:val="32"/>
          <w:szCs w:val="32"/>
        </w:rPr>
        <w:t xml:space="preserve">5. Difficultes Rencontrees et Solutions Apportees</w:t>
      </w:r>
    </w:p>
    <w:p>
      <w:pPr>
        <w:spacing w:after="140"/>
        <w:jc w:val="both"/>
      </w:pPr>
      <w:r>
        <w:rPr>
          <w:sz w:val="22"/>
          <w:szCs w:val="22"/>
        </w:rPr>
        <w:t xml:space="preserve">Le deploiement de cette stack IoT complexe a necessite la resolution de plusieurs problemes techniques. Voici le detail des difficultes majeures rencontrees et les solutions mises en oeuvre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B5E8A" w:sz="1"/>
              <w:left w:val="single" w:color="1B5E8A" w:sz="1"/>
              <w:bottom w:val="single" w:color="1B5E8A" w:sz="1"/>
              <w:right w:val="single" w:color="1B5E8A" w:sz="1"/>
            </w:tcBorders>
            <w:shd w:fill="1B5E8A" w:val="clear"/>
            <w:tcMar>
              <w:top w:type="dxa" w:w="80"/>
              <w:left w:type="dxa" w:w="120"/>
              <w:bottom w:type="dxa" w:w="80"/>
              <w:right w:type="dxa" w:w="120"/>
            </w:tcMar>
            <w:vAlign w:val="center"/>
          </w:tcPr>
          <w:p>
            <w:pPr>
              <w:jc w:val="center"/>
            </w:pPr>
            <w:r>
              <w:rPr>
                <w:b/>
                <w:bCs/>
                <w:color w:val="FFFFFF"/>
                <w:sz w:val="20"/>
                <w:szCs w:val="20"/>
              </w:rPr>
              <w:t xml:space="preserve">Difficulte rencontree</w:t>
            </w:r>
          </w:p>
        </w:tc>
        <w:tc>
          <w:tcPr>
            <w:tcW w:type="dxa" w:w="3000"/>
            <w:tcBorders>
              <w:top w:val="single" w:color="1B5E8A" w:sz="1"/>
              <w:left w:val="single" w:color="1B5E8A" w:sz="1"/>
              <w:bottom w:val="single" w:color="1B5E8A" w:sz="1"/>
              <w:right w:val="single" w:color="1B5E8A" w:sz="1"/>
            </w:tcBorders>
            <w:shd w:fill="1B5E8A" w:val="clear"/>
            <w:tcMar>
              <w:top w:type="dxa" w:w="80"/>
              <w:left w:type="dxa" w:w="120"/>
              <w:bottom w:type="dxa" w:w="80"/>
              <w:right w:type="dxa" w:w="120"/>
            </w:tcMar>
            <w:vAlign w:val="center"/>
          </w:tcPr>
          <w:p>
            <w:pPr>
              <w:jc w:val="center"/>
            </w:pPr>
            <w:r>
              <w:rPr>
                <w:b/>
                <w:bCs/>
                <w:color w:val="FFFFFF"/>
                <w:sz w:val="20"/>
                <w:szCs w:val="20"/>
              </w:rPr>
              <w:t xml:space="preserve">Cause identifiee</w:t>
            </w:r>
          </w:p>
        </w:tc>
        <w:tc>
          <w:tcPr>
            <w:tcW w:type="dxa" w:w="3360"/>
            <w:tcBorders>
              <w:top w:val="single" w:color="1B5E8A" w:sz="1"/>
              <w:left w:val="single" w:color="1B5E8A" w:sz="1"/>
              <w:bottom w:val="single" w:color="1B5E8A" w:sz="1"/>
              <w:right w:val="single" w:color="1B5E8A" w:sz="1"/>
            </w:tcBorders>
            <w:shd w:fill="1B5E8A" w:val="clear"/>
            <w:tcMar>
              <w:top w:type="dxa" w:w="80"/>
              <w:left w:type="dxa" w:w="120"/>
              <w:bottom w:type="dxa" w:w="80"/>
              <w:right w:type="dxa" w:w="120"/>
            </w:tcMar>
            <w:vAlign w:val="center"/>
          </w:tcPr>
          <w:p>
            <w:pPr>
              <w:jc w:val="center"/>
            </w:pPr>
            <w:r>
              <w:rPr>
                <w:b/>
                <w:bCs/>
                <w:color w:val="FFFFFF"/>
                <w:sz w:val="20"/>
                <w:szCs w:val="20"/>
              </w:rPr>
              <w:t xml:space="preserve">Solution appliquee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Disque plein (100%) bloquant les pulls Docker — input/output 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Images Docker volumineuses + fichiers temporaires accumules + pas de nettoyage periodique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docker system prune -af --volumes + suppression des dossiers locaux deja pousses sur GitHub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telegraf.conf cree comme dossier au lieu d'un fichier — not a directory 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Docker Desktop cree un dossier vide au montage si le fichier n'existe pas au demarrage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rm -rf telegraf/telegraf.conf puis recreation avec heredoc cat &gt; ... &lt;&lt; EOF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Mosquitto en etat restarting — Unable to open config 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Fichier mosquitto.conf absent du dossier mosquitto/config/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mkdir -p mosquitto/config puis creation du fichier avec les listeners 1883 et 9001 WebSockets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Conflit de nom de conteneur — The container name /influxdb is already in 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Ancien conteneur TP1 encore actif avec le meme nom dans Docker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docker rm -f influxdb mosquitto grafana telegraf puis docker compose up -d pour repartir proprement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Document failed validation — bsonType int attendu double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Math.random() peut produire des entiers (26 au lieu de 26.0) rejetes par le JSON Schema strict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Modification du schema [double, int] + valeurs deterministes (25.0 + i*0.7) pour garantir le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Repository not found lors du git push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Nom du depot avec tiret tp2-iot-abidjan inexistant — le bon nom etait avec underscore tp2_iot_abidjan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Creation du bon depot GitHub + git remote set-url avec token d'authentification ghp_...</w:t>
            </w:r>
          </w:p>
        </w:tc>
      </w:tr>
    </w:tbl>
    <w:p>
      <w:r>
        <w:br w:type="page"/>
      </w:r>
    </w:p>
    <w:p>
      <w:pPr>
        <w:pStyle w:val="Heading1"/>
      </w:pPr>
      <w:r>
        <w:rPr>
          <w:b/>
          <w:bCs/>
          <w:color w:val="1B5E8A"/>
          <w:sz w:val="32"/>
          <w:szCs w:val="32"/>
        </w:rPr>
        <w:t xml:space="preserve">6. Conclusion</w:t>
      </w:r>
    </w:p>
    <w:p>
      <w:pPr>
        <w:spacing w:after="140"/>
        <w:jc w:val="both"/>
      </w:pPr>
      <w:r>
        <w:rPr>
          <w:sz w:val="22"/>
          <w:szCs w:val="22"/>
        </w:rPr>
        <w:t xml:space="preserve">Ce TP2 a permis de mettre en oeuvre une solution complete de gestion de donnees IoT integrant InfluxDB et MongoDB dans un contexte reel inspire des communes d'Abidjan. L'architecture deployee demontre la complementarite entre une base de donnees temporelle pour le stockage haute frequence des series de capteurs, et une base de donnees documentaire pour la gestion des metadonnees et les analyses historiques.</w:t>
      </w:r>
    </w:p>
    <w:p>
      <w:r>
        <w:t xml:space="preserve"/>
      </w:r>
    </w:p>
    <w:p>
      <w:pPr>
        <w:spacing w:after="140"/>
        <w:jc w:val="both"/>
      </w:pPr>
      <w:r>
        <w:rPr>
          <w:sz w:val="22"/>
          <w:szCs w:val="22"/>
        </w:rPr>
        <w:t xml:space="preserve">Les requetes Q1 a Q5 ont permis d'extraire des informations pertinentes sur le climat urbain d'Abidjan, revelant notamment que Koumassi est la commune avec les temperatures les plus elevees (29.55 C en moyenne) et que 10 alertes depassent le seuil critique de 30 degres C, principalement a Koumassi et Abobo.</w:t>
      </w:r>
    </w:p>
    <w:p>
      <w:r>
        <w:t xml:space="preserve"/>
      </w:r>
    </w:p>
    <w:p>
      <w:pPr>
        <w:spacing w:after="140"/>
        <w:jc w:val="both"/>
      </w:pPr>
      <w:r>
        <w:rPr>
          <w:sz w:val="22"/>
          <w:szCs w:val="22"/>
        </w:rPr>
        <w:t xml:space="preserve">Les difficultes rencontrees — essentiellement liees a la gestion du disque Mac, aux conflits de conteneurs Docker et a la validation JSON Schema — ont ete resolues avec succes grace a une demarche methodique de diagnostic et de correction. Ces experiences pratiques ont renforce la maitrise des outils Docker, Git et des bases de donnees NoSQL dans un contexte de deploiement reel.</w:t>
      </w:r>
    </w:p>
    <w:p>
      <w:r>
        <w:t xml:space="preserve"/>
      </w:r>
    </w:p>
    <w:p>
      <w:pPr>
        <w:spacing w:after="140"/>
        <w:jc w:val="both"/>
      </w:pPr>
      <w:r>
        <w:rPr>
          <w:sz w:val="22"/>
          <w:szCs w:val="22"/>
        </w:rPr>
        <w:t xml:space="preserve">Le projet complet est disponible sur : github.com/ichmochtegrosse-cell/tp2_iot_abidjan</w:t>
      </w:r>
    </w:p>
    <w:p>
      <w:r>
        <w:t xml:space="preserve"/>
      </w:r>
    </w:p>
    <w:p>
      <w:r>
        <w:t xml:space="preserve"/>
      </w:r>
    </w:p>
    <w:p>
      <w:pPr>
        <w:pStyle w:val="Heading1"/>
      </w:pPr>
      <w:r>
        <w:rPr>
          <w:b/>
          <w:bCs/>
          <w:color w:val="1B5E8A"/>
          <w:sz w:val="32"/>
          <w:szCs w:val="32"/>
        </w:rPr>
        <w:t xml:space="preserve">7. References</w:t>
      </w:r>
    </w:p>
    <w:p>
      <w:pPr>
        <w:pStyle w:val="ListParagraph"/>
        <w:numPr>
          <w:ilvl w:val="0"/>
          <w:numId w:val="2"/>
        </w:numPr>
        <w:spacing w:after="80"/>
      </w:pPr>
      <w:r>
        <w:rPr>
          <w:sz w:val="22"/>
          <w:szCs w:val="22"/>
        </w:rPr>
        <w:t xml:space="preserve">Documentation officielle MongoDB 7.0 — https://www.mongodb.com/docs/</w:t>
      </w:r>
    </w:p>
    <w:p>
      <w:pPr>
        <w:pStyle w:val="ListParagraph"/>
        <w:numPr>
          <w:ilvl w:val="0"/>
          <w:numId w:val="2"/>
        </w:numPr>
        <w:spacing w:after="80"/>
      </w:pPr>
      <w:r>
        <w:rPr>
          <w:sz w:val="22"/>
          <w:szCs w:val="22"/>
        </w:rPr>
        <w:t xml:space="preserve">Documentation InfluxDB 2.7 — https://docs.influxdata.com/</w:t>
      </w:r>
    </w:p>
    <w:p>
      <w:pPr>
        <w:pStyle w:val="ListParagraph"/>
        <w:numPr>
          <w:ilvl w:val="0"/>
          <w:numId w:val="2"/>
        </w:numPr>
        <w:spacing w:after="80"/>
      </w:pPr>
      <w:r>
        <w:rPr>
          <w:sz w:val="22"/>
          <w:szCs w:val="22"/>
        </w:rPr>
        <w:t xml:space="preserve">Docker Documentation — https://docs.docker.com/</w:t>
      </w:r>
    </w:p>
    <w:p>
      <w:pPr>
        <w:pStyle w:val="ListParagraph"/>
        <w:numPr>
          <w:ilvl w:val="0"/>
          <w:numId w:val="2"/>
        </w:numPr>
        <w:spacing w:after="80"/>
      </w:pPr>
      <w:r>
        <w:rPr>
          <w:sz w:val="22"/>
          <w:szCs w:val="22"/>
        </w:rPr>
        <w:t xml:space="preserve">Eclipse Mosquitto MQTT Broker — https://mosquitto.org/documentation/</w:t>
      </w:r>
    </w:p>
    <w:p>
      <w:pPr>
        <w:pStyle w:val="ListParagraph"/>
        <w:numPr>
          <w:ilvl w:val="0"/>
          <w:numId w:val="2"/>
        </w:numPr>
        <w:spacing w:after="80"/>
      </w:pPr>
      <w:r>
        <w:rPr>
          <w:sz w:val="22"/>
          <w:szCs w:val="22"/>
        </w:rPr>
        <w:t xml:space="preserve">Telegraf Documentation — https://docs.influxdata.com/telegraf/</w:t>
      </w:r>
    </w:p>
    <w:p>
      <w:pPr>
        <w:pStyle w:val="ListParagraph"/>
        <w:numPr>
          <w:ilvl w:val="0"/>
          <w:numId w:val="2"/>
        </w:numPr>
        <w:spacing w:after="80"/>
      </w:pPr>
      <w:r>
        <w:rPr>
          <w:sz w:val="22"/>
          <w:szCs w:val="22"/>
        </w:rPr>
        <w:t xml:space="preserve">GitHub du projet TP2 — github.com/ichmochtegrosse-cell/tp2_iot_abidjan</w:t>
      </w:r>
    </w:p>
    <w:p>
      <w:pPr>
        <w:pStyle w:val="ListParagraph"/>
        <w:numPr>
          <w:ilvl w:val="0"/>
          <w:numId w:val="2"/>
        </w:numPr>
        <w:spacing w:after="80"/>
      </w:pPr>
      <w:r>
        <w:rPr>
          <w:sz w:val="22"/>
          <w:szCs w:val="22"/>
        </w:rPr>
        <w:t xml:space="preserve">Cours de Bases de Donnees IoT — Docteur KONATE, UFHB Abidjan 2025-2026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5E8A"/>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B5E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2026-05-05T05:41:33.205Z</dcterms:created>
  <dcterms:modified xsi:type="dcterms:W3CDTF">2026-05-05T05:41:33.206Z</dcterms:modified>
</cp:coreProperties>
</file>

<file path=docProps/custom.xml><?xml version="1.0" encoding="utf-8"?>
<Properties xmlns="http://schemas.openxmlformats.org/officeDocument/2006/custom-properties" xmlns:vt="http://schemas.openxmlformats.org/officeDocument/2006/docPropsVTypes"/>
</file>