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Evaluating Deep Tabular Models and Local Explanation Agreement for Credit Card </w:t>
      </w:r>
      <w:r>
        <w:rPr/>
        <w:t>Fraud </w:t>
      </w:r>
      <w:r>
        <w:rPr>
          <w:spacing w:val="-2"/>
        </w:rPr>
        <w:t>Detection</w:t>
      </w:r>
    </w:p>
    <w:p>
      <w:pPr>
        <w:tabs>
          <w:tab w:pos="3936" w:val="left" w:leader="none"/>
        </w:tabs>
        <w:spacing w:before="314"/>
        <w:ind w:left="0" w:right="0" w:firstLine="0"/>
        <w:jc w:val="center"/>
        <w:rPr>
          <w:sz w:val="22"/>
        </w:rPr>
      </w:pPr>
      <w:r>
        <w:rPr>
          <w:sz w:val="22"/>
        </w:rPr>
        <w:t>Adhiyaman</w:t>
      </w:r>
      <w:r>
        <w:rPr>
          <w:spacing w:val="10"/>
          <w:sz w:val="22"/>
        </w:rPr>
        <w:t> </w:t>
      </w:r>
      <w:r>
        <w:rPr>
          <w:spacing w:val="-12"/>
          <w:sz w:val="22"/>
        </w:rPr>
        <w:t>S</w:t>
      </w:r>
      <w:r>
        <w:rPr>
          <w:sz w:val="22"/>
        </w:rPr>
        <w:tab/>
        <w:t>Sarvesh</w:t>
      </w:r>
      <w:r>
        <w:rPr>
          <w:spacing w:val="10"/>
          <w:sz w:val="22"/>
        </w:rPr>
        <w:t> </w:t>
      </w:r>
      <w:r>
        <w:rPr>
          <w:spacing w:val="-10"/>
          <w:sz w:val="22"/>
        </w:rPr>
        <w:t>B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3"/>
        <w:ind w:left="259" w:right="26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—I think detecting credit card fraud requires finding fraudulent actions while keeping false alarms low. </w:t>
      </w:r>
      <w:r>
        <w:rPr>
          <w:b/>
          <w:sz w:val="18"/>
        </w:rPr>
        <w:t>Explainability brings another problem: when many methods agree it does not guarantee that the explanations are accurate.</w:t>
      </w:r>
    </w:p>
    <w:p>
      <w:pPr>
        <w:spacing w:line="230" w:lineRule="auto" w:before="11"/>
        <w:ind w:left="253" w:right="1" w:firstLine="205"/>
        <w:jc w:val="both"/>
        <w:rPr>
          <w:b/>
          <w:sz w:val="18"/>
        </w:rPr>
      </w:pPr>
      <w:r>
        <w:rPr>
          <w:b/>
          <w:sz w:val="18"/>
        </w:rPr>
        <w:t>I evaluated credit card fraud models TabNet, MLP and FT-Transformer on 112,534 transactions using splits and thresholds that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depend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validation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F1.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16,881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test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transactions that contain 36 cases TabNet achieved a PR-AUC of 0.7961, a precision of 0.9310 and an F1 score of 0.8308 and it produced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only two false positives. MLP reached a ROC-AUC of 0.9722.</w:t>
      </w:r>
      <w:r>
        <w:rPr>
          <w:b/>
          <w:spacing w:val="80"/>
          <w:sz w:val="18"/>
        </w:rPr>
        <w:t> </w:t>
      </w:r>
      <w:r>
        <w:rPr>
          <w:b/>
          <w:sz w:val="18"/>
        </w:rPr>
        <w:t>FT-Transformer found the frauds detecting 29 out of 36.</w:t>
      </w:r>
    </w:p>
    <w:p>
      <w:pPr>
        <w:spacing w:line="230" w:lineRule="auto" w:before="12"/>
        <w:ind w:left="254" w:right="32" w:firstLine="203"/>
        <w:jc w:val="both"/>
        <w:rPr>
          <w:b/>
          <w:sz w:val="18"/>
        </w:rPr>
      </w:pPr>
      <w:r>
        <w:rPr>
          <w:b/>
          <w:sz w:val="18"/>
        </w:rPr>
        <w:t>I also tested SHAP and LIME on a valid transaction for </w:t>
      </w:r>
      <w:r>
        <w:rPr>
          <w:b/>
          <w:sz w:val="18"/>
        </w:rPr>
        <w:t>credit card fraud and proposed a metric for directional alignment. The signs of the three characteristics match at glance giving some early evidence of consistency but this is not enough, for broad </w:t>
      </w:r>
      <w:r>
        <w:rPr>
          <w:b/>
          <w:spacing w:val="-2"/>
          <w:sz w:val="18"/>
        </w:rPr>
        <w:t>validation.</w:t>
      </w:r>
    </w:p>
    <w:p>
      <w:pPr>
        <w:spacing w:line="230" w:lineRule="auto" w:before="11"/>
        <w:ind w:left="253" w:right="10" w:firstLine="205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—Credit card fraud detection, class </w:t>
      </w:r>
      <w:r>
        <w:rPr>
          <w:b/>
          <w:sz w:val="18"/>
        </w:rPr>
        <w:t>imbalance, TabNet, multilayer perceptron, FT-Transformer, SHAP, LIME, explainable machine learning.</w:t>
      </w:r>
    </w:p>
    <w:p>
      <w:pPr>
        <w:pStyle w:val="BodyText"/>
        <w:spacing w:before="70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22"/>
        <w:ind w:left="252" w:firstLine="206"/>
        <w:jc w:val="both"/>
      </w:pPr>
      <w:r>
        <w:rPr/>
        <w:t>Fraud</w:t>
      </w:r>
      <w:r>
        <w:rPr>
          <w:spacing w:val="-2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skewed</w:t>
      </w:r>
      <w:r>
        <w:rPr>
          <w:spacing w:val="-2"/>
        </w:rPr>
        <w:t> </w:t>
      </w:r>
      <w:r>
        <w:rPr/>
        <w:t>classification</w:t>
      </w:r>
      <w:r>
        <w:rPr>
          <w:spacing w:val="-2"/>
        </w:rPr>
        <w:t> </w:t>
      </w:r>
      <w:r>
        <w:rPr/>
        <w:t>challenge</w:t>
      </w:r>
      <w:r>
        <w:rPr>
          <w:spacing w:val="-2"/>
        </w:rPr>
        <w:t> </w:t>
      </w:r>
      <w:r>
        <w:rPr/>
        <w:t>because fraudulent activities make up only 0.21 percent of all transac-tions. A model that classifies every transaction as legitimate would reach 99.79 percent accuracy. It would not detect any fraud.</w:t>
      </w:r>
      <w:r>
        <w:rPr>
          <w:spacing w:val="-11"/>
        </w:rPr>
        <w:t> </w:t>
      </w:r>
      <w:r>
        <w:rPr/>
        <w:t>Therefore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evaluate</w:t>
      </w:r>
      <w:r>
        <w:rPr>
          <w:spacing w:val="-11"/>
        </w:rPr>
        <w:t> </w:t>
      </w:r>
      <w:r>
        <w:rPr/>
        <w:t>ranking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ROC-AUC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PR-AUC. Also consider precision and recall at specific thresholds [8], [9]. TabNet uses attention [1]. MLP learns through layers. FT-Transformer uses self-attention on feature tokens [2]. The dataset, training method and assessment metric shape the performance of each model. For explainability SHAP uses Shapley values to identify feature contributions [3]. LIME offers an approximation of model behavior [4]. An agreement, among these methods indicates consistency, not correctness, causation or generalisation.</w:t>
      </w:r>
    </w:p>
    <w:p>
      <w:pPr>
        <w:pStyle w:val="ListParagraph"/>
        <w:numPr>
          <w:ilvl w:val="0"/>
          <w:numId w:val="1"/>
        </w:numPr>
        <w:tabs>
          <w:tab w:pos="2202" w:val="left" w:leader="none"/>
        </w:tabs>
        <w:spacing w:line="240" w:lineRule="auto" w:before="205" w:after="0"/>
        <w:ind w:left="2202" w:right="0" w:hanging="289"/>
        <w:jc w:val="left"/>
        <w:rPr>
          <w:sz w:val="20"/>
        </w:rPr>
      </w:pPr>
      <w:r>
        <w:rPr>
          <w:smallCaps/>
          <w:sz w:val="20"/>
        </w:rPr>
        <w:t>Related</w:t>
      </w:r>
      <w:r>
        <w:rPr>
          <w:smallCaps/>
          <w:spacing w:val="49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BodyText"/>
        <w:spacing w:line="249" w:lineRule="auto" w:before="122"/>
        <w:ind w:left="259" w:firstLine="199"/>
        <w:jc w:val="both"/>
      </w:pPr>
      <w:r>
        <w:rPr/>
        <w:t>He and Garcia examine approaches, for classification </w:t>
      </w:r>
      <w:r>
        <w:rPr/>
        <w:t>[8]. Dal</w:t>
      </w:r>
      <w:r>
        <w:rPr>
          <w:spacing w:val="-6"/>
        </w:rPr>
        <w:t> </w:t>
      </w:r>
      <w:r>
        <w:rPr/>
        <w:t>Pozzolo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al.</w:t>
      </w:r>
      <w:r>
        <w:rPr>
          <w:spacing w:val="-6"/>
        </w:rPr>
        <w:t> </w:t>
      </w:r>
      <w:r>
        <w:rPr/>
        <w:t>Emphasize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importance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fraud</w:t>
      </w:r>
      <w:r>
        <w:rPr>
          <w:spacing w:val="-6"/>
        </w:rPr>
        <w:t> </w:t>
      </w:r>
      <w:r>
        <w:rPr/>
        <w:t>detection assessment [5]. In imbalanced datasets precision–recall curves provide a more accurate representation of minority-class performance compared to ROC curves [9]. SHAP gives a</w:t>
      </w:r>
      <w:r>
        <w:rPr>
          <w:spacing w:val="40"/>
        </w:rPr>
        <w:t> </w:t>
      </w:r>
      <w:r>
        <w:rPr/>
        <w:t>share to each feature for a prediction [3]. LIME looks at how the model behaves near an example [4]. The magnitudes of SHAP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LIME</w:t>
      </w:r>
      <w:r>
        <w:rPr>
          <w:spacing w:val="-9"/>
        </w:rPr>
        <w:t> </w:t>
      </w:r>
      <w:r>
        <w:rPr/>
        <w:t>attributions</w:t>
      </w:r>
      <w:r>
        <w:rPr>
          <w:spacing w:val="-9"/>
        </w:rPr>
        <w:t> </w:t>
      </w:r>
      <w:r>
        <w:rPr/>
        <w:t>cannot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compared</w:t>
      </w:r>
      <w:r>
        <w:rPr>
          <w:spacing w:val="-9"/>
        </w:rPr>
        <w:t> </w:t>
      </w:r>
      <w:r>
        <w:rPr/>
        <w:t>directly.</w:t>
      </w:r>
      <w:r>
        <w:rPr>
          <w:spacing w:val="-9"/>
        </w:rPr>
        <w:t> </w:t>
      </w:r>
      <w:r>
        <w:rPr/>
        <w:t>The directions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shared</w:t>
      </w:r>
      <w:r>
        <w:rPr>
          <w:spacing w:val="28"/>
        </w:rPr>
        <w:t> </w:t>
      </w:r>
      <w:r>
        <w:rPr/>
        <w:t>features</w:t>
      </w:r>
      <w:r>
        <w:rPr>
          <w:spacing w:val="28"/>
        </w:rPr>
        <w:t> </w:t>
      </w:r>
      <w:r>
        <w:rPr/>
        <w:t>can</w:t>
      </w:r>
      <w:r>
        <w:rPr>
          <w:spacing w:val="28"/>
        </w:rPr>
        <w:t> </w:t>
      </w:r>
      <w:r>
        <w:rPr/>
        <w:t>be.</w:t>
      </w:r>
      <w:r>
        <w:rPr>
          <w:spacing w:val="28"/>
        </w:rPr>
        <w:t> </w:t>
      </w:r>
      <w:r>
        <w:rPr/>
        <w:t>This</w:t>
      </w:r>
      <w:r>
        <w:rPr>
          <w:spacing w:val="28"/>
        </w:rPr>
        <w:t> </w:t>
      </w:r>
      <w:r>
        <w:rPr/>
        <w:t>research</w:t>
      </w:r>
      <w:r>
        <w:rPr>
          <w:spacing w:val="28"/>
        </w:rPr>
        <w:t> </w:t>
      </w:r>
      <w:r>
        <w:rPr/>
        <w:t>measures</w:t>
      </w:r>
    </w:p>
    <w:p>
      <w:pPr>
        <w:pStyle w:val="BodyText"/>
        <w:spacing w:line="249" w:lineRule="auto" w:before="98"/>
        <w:ind w:left="164"/>
      </w:pPr>
      <w:r>
        <w:rPr/>
        <w:br w:type="column"/>
      </w:r>
      <w:r>
        <w:rPr/>
        <w:t>agreement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presuming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SHAP</w:t>
      </w:r>
      <w:r>
        <w:rPr>
          <w:spacing w:val="-8"/>
        </w:rPr>
        <w:t> </w:t>
      </w:r>
      <w:r>
        <w:rPr/>
        <w:t>explanation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LIME explanation is accurate.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"/>
        </w:numPr>
        <w:tabs>
          <w:tab w:pos="1397" w:val="left" w:leader="none"/>
        </w:tabs>
        <w:spacing w:line="240" w:lineRule="auto" w:before="0" w:after="0"/>
        <w:ind w:left="1397" w:right="0" w:hanging="364"/>
        <w:jc w:val="left"/>
        <w:rPr>
          <w:sz w:val="20"/>
        </w:rPr>
      </w:pPr>
      <w:r>
        <w:rPr>
          <w:smallCaps/>
          <w:sz w:val="20"/>
        </w:rPr>
        <w:t>Data</w:t>
      </w:r>
      <w:r>
        <w:rPr>
          <w:smallCaps/>
          <w:spacing w:val="43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> </w:t>
      </w:r>
      <w:r>
        <w:rPr>
          <w:smallCaps/>
          <w:sz w:val="20"/>
        </w:rPr>
        <w:t>Experimental</w:t>
      </w:r>
      <w:r>
        <w:rPr>
          <w:smallCaps/>
          <w:spacing w:val="43"/>
          <w:sz w:val="20"/>
        </w:rPr>
        <w:t> </w:t>
      </w:r>
      <w:r>
        <w:rPr>
          <w:smallCaps/>
          <w:spacing w:val="-4"/>
          <w:sz w:val="20"/>
        </w:rPr>
        <w:t>Setup</w:t>
      </w:r>
    </w:p>
    <w:p>
      <w:pPr>
        <w:pStyle w:val="BodyText"/>
        <w:spacing w:line="247" w:lineRule="auto" w:before="171"/>
        <w:ind w:left="164" w:right="224" w:firstLine="199"/>
        <w:jc w:val="both"/>
      </w:pPr>
      <w:r>
        <w:rPr/>
        <w:t>The data comes from the ULB credit card fraud database</w:t>
      </w:r>
      <w:r>
        <w:rPr>
          <w:spacing w:val="40"/>
        </w:rPr>
        <w:t> </w:t>
      </w:r>
      <w:r>
        <w:rPr/>
        <w:t>[6], [7] which has 284,807 transactions recorded over a </w:t>
      </w:r>
      <w:r>
        <w:rPr/>
        <w:t>two-day time period in September 2013. We look at 112,534 transactions: 112,298 are real and 236 are fake (477 to 1 imbalance).</w:t>
      </w:r>
      <w:r>
        <w:rPr>
          <w:spacing w:val="33"/>
        </w:rPr>
        <w:t> </w:t>
      </w:r>
      <w:r>
        <w:rPr/>
        <w:t>Each</w:t>
      </w:r>
      <w:r>
        <w:rPr>
          <w:spacing w:val="33"/>
        </w:rPr>
        <w:t> </w:t>
      </w:r>
      <w:r>
        <w:rPr/>
        <w:t>entry</w:t>
      </w:r>
      <w:r>
        <w:rPr>
          <w:spacing w:val="33"/>
        </w:rPr>
        <w:t> </w:t>
      </w:r>
      <w:r>
        <w:rPr/>
        <w:t>has</w:t>
      </w:r>
      <w:r>
        <w:rPr>
          <w:spacing w:val="33"/>
        </w:rPr>
        <w:t> </w:t>
      </w:r>
      <w:r>
        <w:rPr/>
        <w:t>28</w:t>
      </w:r>
      <w:r>
        <w:rPr>
          <w:spacing w:val="33"/>
        </w:rPr>
        <w:t> </w:t>
      </w:r>
      <w:r>
        <w:rPr/>
        <w:t>features</w:t>
      </w:r>
      <w:r>
        <w:rPr>
          <w:spacing w:val="33"/>
        </w:rPr>
        <w:t> </w:t>
      </w:r>
      <w:r>
        <w:rPr/>
        <w:t>(</w:t>
      </w:r>
      <w:r>
        <w:rPr>
          <w:rFonts w:ascii="Calibri" w:hAnsi="Calibri"/>
          <w:i/>
        </w:rPr>
        <w:t>V</w:t>
      </w:r>
      <w:r>
        <w:rPr>
          <w:rFonts w:ascii="Calibri" w:hAnsi="Calibri"/>
          <w:vertAlign w:val="subscript"/>
        </w:rPr>
        <w:t>1</w:t>
      </w:r>
      <w:r>
        <w:rPr>
          <w:vertAlign w:val="baseline"/>
        </w:rPr>
        <w:t>–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vertAlign w:val="subscript"/>
        </w:rPr>
        <w:t>28</w:t>
      </w:r>
      <w:r>
        <w:rPr>
          <w:vertAlign w:val="baseline"/>
        </w:rPr>
        <w:t>)</w:t>
      </w:r>
      <w:r>
        <w:rPr>
          <w:spacing w:val="33"/>
          <w:vertAlign w:val="baseline"/>
        </w:rPr>
        <w:t> </w:t>
      </w:r>
      <w:r>
        <w:rPr>
          <w:vertAlign w:val="baseline"/>
        </w:rPr>
        <w:t>the</w:t>
      </w:r>
      <w:r>
        <w:rPr>
          <w:spacing w:val="33"/>
          <w:vertAlign w:val="baseline"/>
        </w:rPr>
        <w:t> </w:t>
      </w:r>
      <w:r>
        <w:rPr>
          <w:vertAlign w:val="baseline"/>
        </w:rPr>
        <w:t>amount of the transaction and the time that passed. These features do not have business meanings.</w:t>
      </w:r>
    </w:p>
    <w:p>
      <w:pPr>
        <w:pStyle w:val="BodyText"/>
        <w:spacing w:line="249" w:lineRule="auto" w:before="17"/>
        <w:ind w:left="159" w:right="257" w:firstLine="204"/>
        <w:jc w:val="both"/>
      </w:pPr>
      <w:r>
        <w:rPr/>
        <w:t>Stratified sampling (seed 42) gives 78,773 training </w:t>
      </w:r>
      <w:r>
        <w:rPr/>
        <w:t>16,880 validation and 16,881 test samples. The test set has 36 cases</w:t>
      </w:r>
      <w:r>
        <w:rPr>
          <w:spacing w:val="80"/>
        </w:rPr>
        <w:t> </w:t>
      </w:r>
      <w:r>
        <w:rPr/>
        <w:t>of fraud. Random splitting keeps the class ratios but does not show future transactions properly.</w:t>
      </w:r>
    </w:p>
    <w:p>
      <w:pPr>
        <w:pStyle w:val="BodyText"/>
        <w:spacing w:line="249" w:lineRule="auto" w:before="16"/>
        <w:ind w:left="158" w:right="224" w:firstLine="205"/>
        <w:jc w:val="both"/>
      </w:pPr>
      <w:r>
        <w:rPr>
          <w:b/>
        </w:rPr>
        <w:t>Models.</w:t>
      </w:r>
      <w:r>
        <w:rPr>
          <w:b/>
          <w:spacing w:val="40"/>
        </w:rPr>
        <w:t> </w:t>
      </w:r>
      <w:r>
        <w:rPr/>
        <w:t>TabNet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/>
        <w:t>sparse</w:t>
      </w:r>
      <w:r>
        <w:rPr>
          <w:spacing w:val="40"/>
        </w:rPr>
        <w:t> </w:t>
      </w:r>
      <w:r>
        <w:rPr/>
        <w:t>attention</w:t>
      </w:r>
      <w:r>
        <w:rPr>
          <w:spacing w:val="40"/>
        </w:rPr>
        <w:t> </w:t>
      </w:r>
      <w:r>
        <w:rPr/>
        <w:t>masks</w:t>
      </w:r>
      <w:r>
        <w:rPr>
          <w:spacing w:val="40"/>
        </w:rPr>
        <w:t> </w:t>
      </w:r>
      <w:r>
        <w:rPr/>
        <w:t>[1];</w:t>
      </w:r>
      <w:r>
        <w:rPr>
          <w:spacing w:val="40"/>
        </w:rPr>
        <w:t> </w:t>
      </w:r>
      <w:r>
        <w:rPr/>
        <w:t>the four-layer MLP has dropout, with batch normalization; FT-Transformer uses -head attention on feature tokens and has 800,897 parameters [2]. All models use class-weighted binary cross-entropy giving a weight of </w:t>
      </w:r>
      <w:r>
        <w:rPr>
          <w:rFonts w:ascii="Calibri"/>
          <w:i/>
          <w:w w:val="125"/>
        </w:rPr>
        <w:t>w</w:t>
      </w:r>
      <w:r>
        <w:rPr>
          <w:rFonts w:ascii="Calibri"/>
          <w:w w:val="125"/>
          <w:vertAlign w:val="subscript"/>
        </w:rPr>
        <w:t>+</w:t>
      </w:r>
      <w:r>
        <w:rPr>
          <w:rFonts w:ascii="Calibri"/>
          <w:w w:val="125"/>
          <w:vertAlign w:val="baseline"/>
        </w:rPr>
        <w:t> = </w:t>
      </w:r>
      <w:r>
        <w:rPr>
          <w:rFonts w:ascii="Calibri"/>
          <w:vertAlign w:val="baseline"/>
        </w:rPr>
        <w:t>476</w:t>
      </w:r>
      <w:r>
        <w:rPr>
          <w:rFonts w:ascii="Calibri"/>
          <w:i/>
          <w:vertAlign w:val="baseline"/>
        </w:rPr>
        <w:t>.</w:t>
      </w:r>
      <w:r>
        <w:rPr>
          <w:rFonts w:ascii="Calibri"/>
          <w:vertAlign w:val="baseline"/>
        </w:rPr>
        <w:t>41</w:t>
      </w:r>
      <w:r>
        <w:rPr>
          <w:rFonts w:ascii="Calibri"/>
          <w:spacing w:val="40"/>
          <w:vertAlign w:val="baseline"/>
        </w:rPr>
        <w:t> </w:t>
      </w:r>
      <w:r>
        <w:rPr>
          <w:vertAlign w:val="baseline"/>
        </w:rPr>
        <w:t>to fraud.</w:t>
      </w:r>
    </w:p>
    <w:p>
      <w:pPr>
        <w:spacing w:line="237" w:lineRule="auto" w:before="0"/>
        <w:ind w:left="159" w:right="257" w:firstLine="204"/>
        <w:jc w:val="both"/>
        <w:rPr>
          <w:sz w:val="20"/>
        </w:rPr>
      </w:pPr>
      <w:r>
        <w:rPr>
          <w:b/>
          <w:sz w:val="20"/>
        </w:rPr>
        <w:t>Threshold selection. </w:t>
      </w:r>
      <w:r>
        <w:rPr>
          <w:sz w:val="20"/>
        </w:rPr>
        <w:t>The cutoff for each model </w:t>
      </w:r>
      <w:r>
        <w:rPr>
          <w:rFonts w:ascii="Calibri"/>
          <w:i/>
          <w:sz w:val="20"/>
        </w:rPr>
        <w:t>m </w:t>
      </w:r>
      <w:r>
        <w:rPr>
          <w:sz w:val="20"/>
        </w:rPr>
        <w:t>is </w:t>
      </w:r>
      <w:r>
        <w:rPr>
          <w:sz w:val="20"/>
        </w:rPr>
        <w:t>the value that maximizes F1 on validation data,</w:t>
      </w:r>
    </w:p>
    <w:p>
      <w:pPr>
        <w:tabs>
          <w:tab w:pos="4966" w:val="left" w:leader="none"/>
        </w:tabs>
        <w:spacing w:line="280" w:lineRule="exact" w:before="186"/>
        <w:ind w:left="117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4536236</wp:posOffset>
                </wp:positionH>
                <wp:positionV relativeFrom="paragraph">
                  <wp:posOffset>162684</wp:posOffset>
                </wp:positionV>
                <wp:extent cx="55880" cy="1270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588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0"/>
                                <w:sz w:val="20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7.18399pt;margin-top:12.809774pt;width:4.4pt;height:10pt;mso-position-horizontal-relative:page;mso-position-vertical-relative:paragraph;z-index:15728640" type="#_x0000_t202" id="docshape1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10"/>
                          <w:sz w:val="20"/>
                        </w:rPr>
                        <w:t>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4591545</wp:posOffset>
                </wp:positionH>
                <wp:positionV relativeFrom="paragraph">
                  <wp:posOffset>222432</wp:posOffset>
                </wp:positionV>
                <wp:extent cx="90170" cy="889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901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539001pt;margin-top:17.514374pt;width:7.1pt;height:7pt;mso-position-horizontal-relative:page;mso-position-vertical-relative:paragraph;z-index:-15905280" type="#_x0000_t202" id="docshape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48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 </w:t>
      </w:r>
      <w:r>
        <w:rPr>
          <w:rFonts w:ascii="Calibri" w:hAnsi="Calibri"/>
          <w:w w:val="115"/>
          <w:sz w:val="20"/>
          <w:vertAlign w:val="baseline"/>
        </w:rPr>
        <w:t>arg</w:t>
      </w:r>
      <w:r>
        <w:rPr>
          <w:rFonts w:ascii="Calibri" w:hAnsi="Calibri"/>
          <w:spacing w:val="-16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max</w:t>
      </w:r>
      <w:r>
        <w:rPr>
          <w:rFonts w:ascii="Calibri" w:hAnsi="Calibri"/>
          <w:spacing w:val="4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F</w:t>
      </w:r>
      <w:r>
        <w:rPr>
          <w:rFonts w:ascii="Calibri" w:hAnsi="Calibri"/>
          <w:w w:val="115"/>
          <w:sz w:val="20"/>
          <w:vertAlign w:val="subscript"/>
        </w:rPr>
        <w:t>1</w:t>
      </w:r>
      <w:r>
        <w:rPr>
          <w:rFonts w:ascii="Calibri" w:hAnsi="Calibri"/>
          <w:w w:val="115"/>
          <w:sz w:val="20"/>
          <w:vertAlign w:val="baseline"/>
        </w:rPr>
        <w:t>(</w:t>
      </w:r>
      <w:r>
        <w:rPr>
          <w:rFonts w:ascii="Bookman Old Style" w:hAnsi="Bookman Old Style"/>
          <w:b/>
          <w:w w:val="115"/>
          <w:sz w:val="20"/>
          <w:vertAlign w:val="baseline"/>
        </w:rPr>
        <w:t>y</w:t>
      </w:r>
      <w:r>
        <w:rPr>
          <w:rFonts w:ascii="Calibri" w:hAnsi="Calibri"/>
          <w:w w:val="115"/>
          <w:sz w:val="20"/>
          <w:vertAlign w:val="subscript"/>
        </w:rPr>
        <w:t>val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9"/>
          <w:w w:val="115"/>
          <w:sz w:val="20"/>
          <w:vertAlign w:val="baseline"/>
        </w:rPr>
        <w:t> </w:t>
      </w:r>
      <w:r>
        <w:rPr>
          <w:rFonts w:ascii="Georgia" w:hAnsi="Georgia"/>
          <w:w w:val="115"/>
          <w:sz w:val="20"/>
          <w:vertAlign w:val="baseline"/>
        </w:rPr>
        <w:t>I</w:t>
      </w:r>
      <w:r>
        <w:rPr>
          <w:rFonts w:ascii="Calibri" w:hAnsi="Calibri"/>
          <w:w w:val="115"/>
          <w:sz w:val="20"/>
          <w:vertAlign w:val="baseline"/>
        </w:rPr>
        <w:t>[</w:t>
      </w:r>
      <w:r>
        <w:rPr>
          <w:rFonts w:ascii="Bookman Old Style" w:hAnsi="Bookman Old Style"/>
          <w:b/>
          <w:w w:val="115"/>
          <w:sz w:val="20"/>
          <w:vertAlign w:val="baseline"/>
        </w:rPr>
        <w:t>p</w:t>
      </w:r>
      <w:r>
        <w:rPr>
          <w:rFonts w:ascii="Calibri" w:hAnsi="Calibri"/>
          <w:i/>
          <w:w w:val="115"/>
          <w:sz w:val="20"/>
          <w:vertAlign w:val="subscript"/>
        </w:rPr>
        <w:t>m,</w:t>
      </w:r>
      <w:r>
        <w:rPr>
          <w:rFonts w:ascii="Calibri" w:hAnsi="Calibri"/>
          <w:w w:val="115"/>
          <w:sz w:val="20"/>
          <w:vertAlign w:val="subscript"/>
        </w:rPr>
        <w:t>val</w:t>
      </w:r>
      <w:r>
        <w:rPr>
          <w:rFonts w:ascii="Calibri" w:hAnsi="Calibri"/>
          <w:spacing w:val="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≥</w:t>
      </w:r>
      <w:r>
        <w:rPr>
          <w:rFonts w:ascii="Lucida Sans Unicode" w:hAnsi="Lucida Sans Unicode"/>
          <w:spacing w:val="-17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τ</w:t>
      </w:r>
      <w:r>
        <w:rPr>
          <w:rFonts w:ascii="Calibri" w:hAnsi="Calibri"/>
          <w:i/>
          <w:spacing w:val="-29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])</w:t>
      </w:r>
      <w:r>
        <w:rPr>
          <w:rFonts w:ascii="Calibri" w:hAnsi="Calibri"/>
          <w:spacing w:val="-18"/>
          <w:w w:val="115"/>
          <w:sz w:val="20"/>
          <w:vertAlign w:val="baseline"/>
        </w:rPr>
        <w:t> </w:t>
      </w:r>
      <w:r>
        <w:rPr>
          <w:rFonts w:ascii="Calibri" w:hAnsi="Calibri"/>
          <w:i/>
          <w:spacing w:val="-10"/>
          <w:w w:val="115"/>
          <w:sz w:val="20"/>
          <w:vertAlign w:val="baseline"/>
        </w:rPr>
        <w:t>,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5"/>
          <w:w w:val="115"/>
          <w:sz w:val="20"/>
          <w:vertAlign w:val="baseline"/>
        </w:rPr>
        <w:t>(1)</w:t>
      </w:r>
    </w:p>
    <w:p>
      <w:pPr>
        <w:spacing w:line="144" w:lineRule="exact" w:before="0"/>
        <w:ind w:left="1752" w:right="0" w:firstLine="0"/>
        <w:jc w:val="left"/>
        <w:rPr>
          <w:rFonts w:ascii="Cambria" w:hAnsi="Cambria"/>
          <w:sz w:val="14"/>
        </w:rPr>
      </w:pPr>
      <w:r>
        <w:rPr>
          <w:rFonts w:ascii="Calibri" w:hAnsi="Calibri"/>
          <w:i/>
          <w:w w:val="125"/>
          <w:sz w:val="14"/>
        </w:rPr>
        <w:t>τ</w:t>
      </w:r>
      <w:r>
        <w:rPr>
          <w:rFonts w:ascii="Calibri" w:hAnsi="Calibri"/>
          <w:i/>
          <w:spacing w:val="-19"/>
          <w:w w:val="125"/>
          <w:sz w:val="14"/>
        </w:rPr>
        <w:t> </w:t>
      </w:r>
      <w:r>
        <w:rPr>
          <w:rFonts w:ascii="Cambria" w:hAnsi="Cambria"/>
          <w:spacing w:val="-5"/>
          <w:w w:val="125"/>
          <w:sz w:val="14"/>
        </w:rPr>
        <w:t>∈T</w:t>
      </w:r>
    </w:p>
    <w:p>
      <w:pPr>
        <w:pStyle w:val="BodyText"/>
        <w:spacing w:line="208" w:lineRule="auto" w:before="147"/>
        <w:ind w:left="164" w:right="145" w:hanging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0688">
                <wp:simplePos x="0" y="0"/>
                <wp:positionH relativeFrom="page">
                  <wp:posOffset>5553418</wp:posOffset>
                </wp:positionH>
                <wp:positionV relativeFrom="paragraph">
                  <wp:posOffset>179662</wp:posOffset>
                </wp:positionV>
                <wp:extent cx="90170" cy="889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901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277008pt;margin-top:14.146688pt;width:7.1pt;height:7pt;mso-position-horizontal-relative:page;mso-position-vertical-relative:paragraph;z-index:-15905792" type="#_x0000_t202" id="docshape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 </w:t>
      </w:r>
      <w:r>
        <w:rPr>
          <w:rFonts w:ascii="Lucida Sans Unicode" w:hAnsi="Lucida Sans Unicode"/>
        </w:rPr>
        <w:t>T</w:t>
      </w:r>
      <w:r>
        <w:rPr>
          <w:rFonts w:ascii="Lucida Sans Unicode" w:hAnsi="Lucida Sans Unicode"/>
          <w:spacing w:val="39"/>
        </w:rPr>
        <w:t> </w:t>
      </w:r>
      <w:r>
        <w:rPr/>
        <w:t>is the candidate set;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-23"/>
        </w:rPr>
        <w:t> 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spacing w:val="40"/>
          <w:vertAlign w:val="baseline"/>
        </w:rPr>
        <w:t> </w:t>
      </w:r>
      <w:r>
        <w:rPr>
          <w:vertAlign w:val="baseline"/>
        </w:rPr>
        <w:t>is then held fixed on the test set. The resulting thresholds (Table I) maximize F1.</w:t>
      </w:r>
    </w:p>
    <w:p>
      <w:pPr>
        <w:pStyle w:val="BodyText"/>
        <w:spacing w:before="60"/>
      </w:pPr>
    </w:p>
    <w:p>
      <w:pPr>
        <w:pStyle w:val="ListParagraph"/>
        <w:numPr>
          <w:ilvl w:val="0"/>
          <w:numId w:val="1"/>
        </w:numPr>
        <w:tabs>
          <w:tab w:pos="1911" w:val="left" w:leader="none"/>
        </w:tabs>
        <w:spacing w:line="240" w:lineRule="auto" w:before="0" w:after="0"/>
        <w:ind w:left="1911" w:right="0" w:hanging="342"/>
        <w:jc w:val="left"/>
        <w:rPr>
          <w:sz w:val="20"/>
        </w:rPr>
      </w:pPr>
      <w:r>
        <w:rPr>
          <w:smallCaps/>
          <w:sz w:val="20"/>
        </w:rPr>
        <w:t>Model</w:t>
      </w:r>
      <w:r>
        <w:rPr>
          <w:smallCaps/>
          <w:spacing w:val="48"/>
          <w:sz w:val="20"/>
        </w:rPr>
        <w:t> </w:t>
      </w:r>
      <w:r>
        <w:rPr>
          <w:smallCaps/>
          <w:spacing w:val="-2"/>
          <w:sz w:val="20"/>
        </w:rPr>
        <w:t>Comparison</w:t>
      </w:r>
    </w:p>
    <w:p>
      <w:pPr>
        <w:pStyle w:val="BodyText"/>
        <w:spacing w:line="249" w:lineRule="auto" w:before="171"/>
        <w:ind w:left="154" w:right="222" w:firstLine="208"/>
        <w:jc w:val="both"/>
      </w:pPr>
      <w:r>
        <w:rPr/>
        <w:t>No single model is the best across all metrics (Table </w:t>
      </w:r>
      <w:r>
        <w:rPr/>
        <w:t>I). TabNet is very strong in PR-AUC, precision and F1: around</w:t>
      </w:r>
      <w:r>
        <w:rPr>
          <w:spacing w:val="40"/>
        </w:rPr>
        <w:t> </w:t>
      </w:r>
      <w:r>
        <w:rPr/>
        <w:t>93 percent of TabNets alerts are deceptive and TabNet has</w:t>
      </w:r>
      <w:r>
        <w:rPr>
          <w:spacing w:val="80"/>
        </w:rPr>
        <w:t> </w:t>
      </w:r>
      <w:r>
        <w:rPr/>
        <w:t>two wrong alerts out of 16,845 genuine transactions. The</w:t>
      </w:r>
      <w:r>
        <w:rPr>
          <w:spacing w:val="80"/>
          <w:w w:val="150"/>
        </w:rPr>
        <w:t> </w:t>
      </w:r>
      <w:r>
        <w:rPr/>
        <w:t>MLP evaluates transactions best using ROC-AUC and FT-Transformer</w:t>
      </w:r>
      <w:r>
        <w:rPr>
          <w:spacing w:val="-9"/>
        </w:rPr>
        <w:t> </w:t>
      </w:r>
      <w:r>
        <w:rPr/>
        <w:t>counts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fraud</w:t>
      </w:r>
      <w:r>
        <w:rPr>
          <w:spacing w:val="-9"/>
        </w:rPr>
        <w:t> </w:t>
      </w:r>
      <w:r>
        <w:rPr/>
        <w:t>cases.</w:t>
      </w:r>
      <w:r>
        <w:rPr>
          <w:spacing w:val="-9"/>
        </w:rPr>
        <w:t> </w:t>
      </w:r>
      <w:r>
        <w:rPr/>
        <w:t>FT-Transformer caught 29 out of 36 fraud cases. Has four more false alarms compared to TabNet (see Fig. 1). Which model is being used? Which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depends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ignoring</w:t>
      </w:r>
      <w:r>
        <w:rPr>
          <w:spacing w:val="-1"/>
        </w:rPr>
        <w:t> </w:t>
      </w:r>
      <w:r>
        <w:rPr/>
        <w:t>deception and sending too many alerts. The test set has 36 fraud cases, including one instance. The prediction changes recall by 2.78 percentage</w:t>
      </w:r>
      <w:r>
        <w:rPr>
          <w:spacing w:val="-2"/>
        </w:rPr>
        <w:t> </w:t>
      </w:r>
      <w:r>
        <w:rPr/>
        <w:t>points.</w:t>
      </w:r>
      <w:r>
        <w:rPr>
          <w:spacing w:val="-3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change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cases</w:t>
      </w:r>
      <w:r>
        <w:rPr>
          <w:spacing w:val="-3"/>
        </w:rPr>
        <w:t> </w:t>
      </w:r>
      <w:r>
        <w:rPr/>
        <w:t>does not prove a difference, between models.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316" w:space="40"/>
            <w:col w:w="5444"/>
          </w:cols>
        </w:sectPr>
      </w:pPr>
    </w:p>
    <w:p>
      <w:pPr>
        <w:spacing w:line="182" w:lineRule="exact" w:before="69"/>
        <w:ind w:left="65" w:right="65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65" w:right="65" w:firstLine="0"/>
        <w:jc w:val="center"/>
        <w:rPr>
          <w:sz w:val="16"/>
        </w:rPr>
      </w:pPr>
      <w:r>
        <w:rPr>
          <w:smallCaps/>
          <w:sz w:val="16"/>
        </w:rPr>
        <w:t>Held-out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Test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Results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at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the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Validation-Selected</w:t>
      </w:r>
      <w:r>
        <w:rPr>
          <w:smallCaps/>
          <w:spacing w:val="36"/>
          <w:sz w:val="16"/>
        </w:rPr>
        <w:t> </w:t>
      </w:r>
      <w:r>
        <w:rPr>
          <w:smallCaps/>
          <w:spacing w:val="-2"/>
          <w:sz w:val="16"/>
        </w:rPr>
        <w:t>Thresholds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1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979"/>
        <w:gridCol w:w="842"/>
        <w:gridCol w:w="865"/>
        <w:gridCol w:w="678"/>
        <w:gridCol w:w="678"/>
        <w:gridCol w:w="937"/>
        <w:gridCol w:w="444"/>
        <w:gridCol w:w="435"/>
        <w:gridCol w:w="453"/>
      </w:tblGrid>
      <w:tr>
        <w:trPr>
          <w:trHeight w:val="271" w:hRule="atLeast"/>
        </w:trPr>
        <w:tc>
          <w:tcPr>
            <w:tcW w:w="125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97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ROC-</w:t>
            </w:r>
            <w:r>
              <w:rPr>
                <w:b/>
                <w:spacing w:val="-5"/>
                <w:sz w:val="16"/>
              </w:rPr>
              <w:t>AUC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PR-</w:t>
            </w:r>
            <w:r>
              <w:rPr>
                <w:b/>
                <w:spacing w:val="-5"/>
                <w:sz w:val="16"/>
              </w:rPr>
              <w:t>AUC</w:t>
            </w:r>
          </w:p>
        </w:tc>
        <w:tc>
          <w:tcPr>
            <w:tcW w:w="86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Precision</w:t>
            </w:r>
          </w:p>
        </w:tc>
        <w:tc>
          <w:tcPr>
            <w:tcW w:w="67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Recall</w:t>
            </w:r>
          </w:p>
        </w:tc>
        <w:tc>
          <w:tcPr>
            <w:tcW w:w="67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1" w:right="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F1</w:t>
            </w:r>
          </w:p>
        </w:tc>
        <w:tc>
          <w:tcPr>
            <w:tcW w:w="93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Threshold</w:t>
            </w:r>
          </w:p>
        </w:tc>
        <w:tc>
          <w:tcPr>
            <w:tcW w:w="44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37" w:right="4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TP</w:t>
            </w:r>
          </w:p>
        </w:tc>
        <w:tc>
          <w:tcPr>
            <w:tcW w:w="43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right="122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FP</w:t>
            </w:r>
          </w:p>
        </w:tc>
        <w:tc>
          <w:tcPr>
            <w:tcW w:w="45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right="123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FN</w:t>
            </w:r>
          </w:p>
        </w:tc>
      </w:tr>
      <w:tr>
        <w:trPr>
          <w:trHeight w:val="224" w:hRule="atLeast"/>
        </w:trPr>
        <w:tc>
          <w:tcPr>
            <w:tcW w:w="12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TabNet</w:t>
            </w:r>
          </w:p>
        </w:tc>
        <w:tc>
          <w:tcPr>
            <w:tcW w:w="97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rPr>
                <w:sz w:val="16"/>
              </w:rPr>
            </w:pPr>
            <w:r>
              <w:rPr>
                <w:spacing w:val="-2"/>
                <w:sz w:val="16"/>
              </w:rPr>
              <w:t>0.9338</w:t>
            </w:r>
          </w:p>
        </w:tc>
        <w:tc>
          <w:tcPr>
            <w:tcW w:w="84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0.7961</w:t>
            </w:r>
          </w:p>
        </w:tc>
        <w:tc>
          <w:tcPr>
            <w:tcW w:w="86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0.9310</w:t>
            </w:r>
          </w:p>
        </w:tc>
        <w:tc>
          <w:tcPr>
            <w:tcW w:w="6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0.7500</w:t>
            </w:r>
          </w:p>
        </w:tc>
        <w:tc>
          <w:tcPr>
            <w:tcW w:w="6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ind w:left="1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0.8308</w:t>
            </w:r>
          </w:p>
        </w:tc>
        <w:tc>
          <w:tcPr>
            <w:tcW w:w="9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0.997419</w:t>
            </w:r>
          </w:p>
        </w:tc>
        <w:tc>
          <w:tcPr>
            <w:tcW w:w="4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ind w:left="41" w:right="4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43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ind w:right="122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4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ind w:right="123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</w:tr>
      <w:tr>
        <w:trPr>
          <w:trHeight w:val="179" w:hRule="atLeast"/>
        </w:trPr>
        <w:tc>
          <w:tcPr>
            <w:tcW w:w="1255" w:type="dxa"/>
          </w:tcPr>
          <w:p>
            <w:pPr>
              <w:pStyle w:val="TableParagraph"/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MLP</w:t>
            </w:r>
          </w:p>
        </w:tc>
        <w:tc>
          <w:tcPr>
            <w:tcW w:w="979" w:type="dxa"/>
          </w:tcPr>
          <w:p>
            <w:pPr>
              <w:pStyle w:val="TableParagraph"/>
              <w:spacing w:line="159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0.9722</w:t>
            </w:r>
          </w:p>
        </w:tc>
        <w:tc>
          <w:tcPr>
            <w:tcW w:w="842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0.6395</w:t>
            </w:r>
          </w:p>
        </w:tc>
        <w:tc>
          <w:tcPr>
            <w:tcW w:w="865" w:type="dxa"/>
          </w:tcPr>
          <w:p>
            <w:pPr>
              <w:pStyle w:val="TableParagraph"/>
              <w:spacing w:line="159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0.7778</w:t>
            </w:r>
          </w:p>
        </w:tc>
        <w:tc>
          <w:tcPr>
            <w:tcW w:w="678" w:type="dxa"/>
          </w:tcPr>
          <w:p>
            <w:pPr>
              <w:pStyle w:val="TableParagraph"/>
              <w:spacing w:line="159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0.7778</w:t>
            </w:r>
          </w:p>
        </w:tc>
        <w:tc>
          <w:tcPr>
            <w:tcW w:w="678" w:type="dxa"/>
          </w:tcPr>
          <w:p>
            <w:pPr>
              <w:pStyle w:val="TableParagraph"/>
              <w:spacing w:line="159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0.7778</w:t>
            </w:r>
          </w:p>
        </w:tc>
        <w:tc>
          <w:tcPr>
            <w:tcW w:w="937" w:type="dxa"/>
          </w:tcPr>
          <w:p>
            <w:pPr>
              <w:pStyle w:val="TableParagraph"/>
              <w:spacing w:line="159" w:lineRule="exact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0.983198</w:t>
            </w:r>
          </w:p>
        </w:tc>
        <w:tc>
          <w:tcPr>
            <w:tcW w:w="444" w:type="dxa"/>
          </w:tcPr>
          <w:p>
            <w:pPr>
              <w:pStyle w:val="TableParagraph"/>
              <w:spacing w:line="159" w:lineRule="exact"/>
              <w:ind w:left="41" w:right="4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435" w:type="dxa"/>
          </w:tcPr>
          <w:p>
            <w:pPr>
              <w:pStyle w:val="TableParagraph"/>
              <w:spacing w:line="159" w:lineRule="exact"/>
              <w:ind w:right="12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453" w:type="dxa"/>
          </w:tcPr>
          <w:p>
            <w:pPr>
              <w:pStyle w:val="TableParagraph"/>
              <w:spacing w:line="159" w:lineRule="exact"/>
              <w:ind w:right="123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>
        <w:trPr>
          <w:trHeight w:val="226" w:hRule="atLeast"/>
        </w:trPr>
        <w:tc>
          <w:tcPr>
            <w:tcW w:w="12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left="119"/>
              <w:jc w:val="left"/>
              <w:rPr>
                <w:sz w:val="16"/>
              </w:rPr>
            </w:pPr>
            <w:r>
              <w:rPr>
                <w:spacing w:val="-7"/>
                <w:sz w:val="16"/>
              </w:rPr>
              <w:t>FT-</w:t>
            </w:r>
            <w:r>
              <w:rPr>
                <w:spacing w:val="-2"/>
                <w:sz w:val="16"/>
              </w:rPr>
              <w:t>Transformer</w:t>
            </w:r>
          </w:p>
        </w:tc>
        <w:tc>
          <w:tcPr>
            <w:tcW w:w="9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0.9544</w:t>
            </w:r>
          </w:p>
        </w:tc>
        <w:tc>
          <w:tcPr>
            <w:tcW w:w="8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0.7652</w:t>
            </w:r>
          </w:p>
        </w:tc>
        <w:tc>
          <w:tcPr>
            <w:tcW w:w="8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0.8286</w:t>
            </w:r>
          </w:p>
        </w:tc>
        <w:tc>
          <w:tcPr>
            <w:tcW w:w="6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0.8056</w:t>
            </w:r>
          </w:p>
        </w:tc>
        <w:tc>
          <w:tcPr>
            <w:tcW w:w="6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0.8169</w:t>
            </w:r>
          </w:p>
        </w:tc>
        <w:tc>
          <w:tcPr>
            <w:tcW w:w="9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0.991292</w:t>
            </w:r>
          </w:p>
        </w:tc>
        <w:tc>
          <w:tcPr>
            <w:tcW w:w="4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left="41" w:right="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4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right="12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4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right="123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</w:tr>
    </w:tbl>
    <w:p>
      <w:pPr>
        <w:pStyle w:val="BodyText"/>
        <w:spacing w:before="10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752398</wp:posOffset>
            </wp:positionH>
            <wp:positionV relativeFrom="paragraph">
              <wp:posOffset>167920</wp:posOffset>
            </wp:positionV>
            <wp:extent cx="6206870" cy="228409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687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0"/>
        <w:rPr>
          <w:sz w:val="12"/>
        </w:rPr>
      </w:pPr>
    </w:p>
    <w:p>
      <w:pPr>
        <w:spacing w:line="232" w:lineRule="auto" w:before="1"/>
        <w:ind w:left="259" w:right="0" w:firstLine="0"/>
        <w:jc w:val="left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> </w:t>
      </w:r>
      <w:r>
        <w:rPr>
          <w:sz w:val="16"/>
        </w:rPr>
        <w:t>Confusion matrices for the three models at their fixed, validation-selected thresholds. TabNet produces the fewest false positives, while FT-Transformer</w:t>
      </w:r>
      <w:r>
        <w:rPr>
          <w:spacing w:val="40"/>
          <w:sz w:val="16"/>
        </w:rPr>
        <w:t> </w:t>
      </w:r>
      <w:r>
        <w:rPr>
          <w:sz w:val="16"/>
        </w:rPr>
        <w:t>detects the most fraud cases.</w:t>
      </w:r>
    </w:p>
    <w:p>
      <w:pPr>
        <w:pStyle w:val="BodyText"/>
        <w:spacing w:before="157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621842</wp:posOffset>
            </wp:positionH>
            <wp:positionV relativeFrom="paragraph">
              <wp:posOffset>261204</wp:posOffset>
            </wp:positionV>
            <wp:extent cx="3198494" cy="128158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494" cy="128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3962120</wp:posOffset>
            </wp:positionH>
            <wp:positionV relativeFrom="paragraph">
              <wp:posOffset>261199</wp:posOffset>
            </wp:positionV>
            <wp:extent cx="3134963" cy="126406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963" cy="126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top="960" w:bottom="280" w:left="720" w:right="720"/>
        </w:sectPr>
      </w:pPr>
    </w:p>
    <w:p>
      <w:pPr>
        <w:spacing w:line="232" w:lineRule="auto" w:before="103"/>
        <w:ind w:left="259" w:right="32" w:firstLine="0"/>
        <w:jc w:val="both"/>
        <w:rPr>
          <w:sz w:val="16"/>
        </w:rPr>
      </w:pPr>
      <w:r>
        <w:rPr>
          <w:sz w:val="16"/>
        </w:rPr>
        <w:t>Fig. 2.</w:t>
      </w:r>
      <w:r>
        <w:rPr>
          <w:spacing w:val="40"/>
          <w:sz w:val="16"/>
        </w:rPr>
        <w:t> </w:t>
      </w:r>
      <w:r>
        <w:rPr>
          <w:sz w:val="16"/>
        </w:rPr>
        <w:t>Parallel-coordinate profiles of the 36 test frauds (red) against </w:t>
      </w:r>
      <w:r>
        <w:rPr>
          <w:sz w:val="16"/>
        </w:rPr>
        <w:t>600</w:t>
      </w:r>
      <w:r>
        <w:rPr>
          <w:spacing w:val="40"/>
          <w:sz w:val="16"/>
        </w:rPr>
        <w:t> </w:t>
      </w:r>
      <w:r>
        <w:rPr>
          <w:sz w:val="16"/>
        </w:rPr>
        <w:t>sampled legitimate transactions (blue). The patterns describe this sample and</w:t>
      </w:r>
      <w:r>
        <w:rPr>
          <w:spacing w:val="40"/>
          <w:sz w:val="16"/>
        </w:rPr>
        <w:t> </w:t>
      </w:r>
      <w:r>
        <w:rPr>
          <w:sz w:val="16"/>
        </w:rPr>
        <w:t>are not universal fraud rules.</w:t>
      </w:r>
    </w:p>
    <w:p>
      <w:pPr>
        <w:pStyle w:val="BodyText"/>
        <w:rPr>
          <w:sz w:val="16"/>
        </w:rPr>
      </w:pPr>
    </w:p>
    <w:p>
      <w:pPr>
        <w:pStyle w:val="BodyText"/>
        <w:spacing w:before="6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314" w:val="left" w:leader="none"/>
        </w:tabs>
        <w:spacing w:line="240" w:lineRule="auto" w:before="0" w:after="0"/>
        <w:ind w:left="1314" w:right="0" w:hanging="266"/>
        <w:jc w:val="left"/>
        <w:rPr>
          <w:sz w:val="20"/>
        </w:rPr>
      </w:pPr>
      <w:r>
        <w:rPr>
          <w:smallCaps/>
          <w:spacing w:val="4"/>
          <w:sz w:val="20"/>
        </w:rPr>
        <w:t>Transaction-level</w:t>
      </w:r>
      <w:r>
        <w:rPr>
          <w:smallCaps/>
          <w:spacing w:val="73"/>
          <w:sz w:val="20"/>
        </w:rPr>
        <w:t> </w:t>
      </w:r>
      <w:r>
        <w:rPr>
          <w:smallCaps/>
          <w:spacing w:val="-2"/>
          <w:sz w:val="20"/>
        </w:rPr>
        <w:t>Explanation</w:t>
      </w:r>
    </w:p>
    <w:p>
      <w:pPr>
        <w:pStyle w:val="BodyText"/>
        <w:spacing w:line="249" w:lineRule="auto" w:before="169"/>
        <w:ind w:left="259" w:right="32" w:firstLine="199"/>
        <w:jc w:val="both"/>
      </w:pPr>
      <w:r>
        <w:rPr/>
        <w:t>Row 12507 shows a purchase of $293.86 that </w:t>
      </w:r>
      <w:r>
        <w:rPr/>
        <w:t>happened 69,480 seconds after the first transaction. All three models looked at row 12507 found row 12507 below their cut-off points. Decided that row 12507 is valid. This example shows how we investigate an accurate identification.</w:t>
      </w:r>
    </w:p>
    <w:p>
      <w:pPr>
        <w:pStyle w:val="BodyText"/>
        <w:spacing w:line="249" w:lineRule="auto" w:before="15"/>
        <w:ind w:left="259" w:firstLine="199"/>
        <w:jc w:val="both"/>
      </w:pPr>
      <w:r>
        <w:rPr/>
        <w:t>SHAP. For TabNet SHAP values are calculated with </w:t>
      </w:r>
      <w:r>
        <w:rPr/>
        <w:t>Ker-nelExplainer</w:t>
      </w:r>
      <w:r>
        <w:rPr>
          <w:spacing w:val="34"/>
        </w:rPr>
        <w:t> </w:t>
      </w:r>
      <w:r>
        <w:rPr/>
        <w:t>using</w:t>
      </w:r>
      <w:r>
        <w:rPr>
          <w:spacing w:val="34"/>
        </w:rPr>
        <w:t> </w:t>
      </w:r>
      <w:r>
        <w:rPr/>
        <w:t>500</w:t>
      </w:r>
      <w:r>
        <w:rPr>
          <w:spacing w:val="34"/>
        </w:rPr>
        <w:t> </w:t>
      </w:r>
      <w:r>
        <w:rPr/>
        <w:t>training</w:t>
      </w:r>
      <w:r>
        <w:rPr>
          <w:spacing w:val="34"/>
        </w:rPr>
        <w:t> </w:t>
      </w:r>
      <w:r>
        <w:rPr/>
        <w:t>samples</w:t>
      </w:r>
      <w:r>
        <w:rPr>
          <w:spacing w:val="34"/>
        </w:rPr>
        <w:t> </w:t>
      </w:r>
      <w:r>
        <w:rPr/>
        <w:t>as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background. In the dashboard style a positive number increases the fraud score while a negative number decreases the fraud score.</w:t>
      </w:r>
    </w:p>
    <w:p>
      <w:pPr>
        <w:pStyle w:val="BodyText"/>
        <w:spacing w:line="235" w:lineRule="auto" w:before="16"/>
        <w:ind w:left="244" w:right="7" w:firstLine="214"/>
        <w:jc w:val="both"/>
      </w:pPr>
      <w:r>
        <w:rPr/>
        <w:t>In row 12507 (Fig. 3) feature </w:t>
      </w:r>
      <w:r>
        <w:rPr>
          <w:rFonts w:ascii="Calibri" w:hAnsi="Calibri"/>
          <w:i/>
        </w:rPr>
        <w:t>V</w:t>
      </w:r>
      <w:r>
        <w:rPr>
          <w:rFonts w:ascii="Calibri" w:hAnsi="Calibri"/>
          <w:vertAlign w:val="subscript"/>
        </w:rPr>
        <w:t>13</w:t>
      </w:r>
      <w:r>
        <w:rPr>
          <w:vertAlign w:val="baseline"/>
        </w:rPr>
        <w:t>. Feature 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vertAlign w:val="subscript"/>
        </w:rPr>
        <w:t>22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push row 12507 toward deceptive behaviour. At the time features 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vertAlign w:val="subscript"/>
        </w:rPr>
        <w:t>11</w:t>
      </w:r>
      <w:r>
        <w:rPr>
          <w:vertAlign w:val="baseline"/>
        </w:rPr>
        <w:t>, 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vertAlign w:val="subscript"/>
        </w:rPr>
        <w:t>14</w:t>
      </w:r>
      <w:r>
        <w:rPr>
          <w:vertAlign w:val="baseline"/>
        </w:rPr>
        <w:t>, 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vertAlign w:val="subscript"/>
        </w:rPr>
        <w:t>12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and the Amount column pull row 12507 toward a normal</w:t>
      </w:r>
      <w:r>
        <w:rPr>
          <w:spacing w:val="34"/>
          <w:vertAlign w:val="baseline"/>
        </w:rPr>
        <w:t> </w:t>
      </w:r>
      <w:r>
        <w:rPr>
          <w:vertAlign w:val="baseline"/>
        </w:rPr>
        <w:t>outcome.</w:t>
      </w:r>
      <w:r>
        <w:rPr>
          <w:spacing w:val="34"/>
          <w:vertAlign w:val="baseline"/>
        </w:rPr>
        <w:t> </w:t>
      </w:r>
      <w:r>
        <w:rPr>
          <w:vertAlign w:val="baseline"/>
        </w:rPr>
        <w:t>Row</w:t>
      </w:r>
      <w:r>
        <w:rPr>
          <w:spacing w:val="34"/>
          <w:vertAlign w:val="baseline"/>
        </w:rPr>
        <w:t> </w:t>
      </w:r>
      <w:r>
        <w:rPr>
          <w:vertAlign w:val="baseline"/>
        </w:rPr>
        <w:t>12507’s</w:t>
      </w:r>
      <w:r>
        <w:rPr>
          <w:spacing w:val="34"/>
          <w:vertAlign w:val="baseline"/>
        </w:rPr>
        <w:t> </w:t>
      </w:r>
      <w:r>
        <w:rPr>
          <w:vertAlign w:val="baseline"/>
        </w:rPr>
        <w:t>final</w:t>
      </w:r>
      <w:r>
        <w:rPr>
          <w:spacing w:val="34"/>
          <w:vertAlign w:val="baseline"/>
        </w:rPr>
        <w:t> </w:t>
      </w:r>
      <w:r>
        <w:rPr>
          <w:vertAlign w:val="baseline"/>
        </w:rPr>
        <w:t>label</w:t>
      </w:r>
      <w:r>
        <w:rPr>
          <w:spacing w:val="34"/>
          <w:vertAlign w:val="baseline"/>
        </w:rPr>
        <w:t> </w:t>
      </w:r>
      <w:r>
        <w:rPr>
          <w:vertAlign w:val="baseline"/>
        </w:rPr>
        <w:t>depends</w:t>
      </w:r>
      <w:r>
        <w:rPr>
          <w:spacing w:val="34"/>
          <w:vertAlign w:val="baseline"/>
        </w:rPr>
        <w:t> </w:t>
      </w:r>
      <w:r>
        <w:rPr>
          <w:vertAlign w:val="baseline"/>
        </w:rPr>
        <w:t>more</w:t>
      </w:r>
      <w:r>
        <w:rPr>
          <w:spacing w:val="34"/>
          <w:vertAlign w:val="baseline"/>
        </w:rPr>
        <w:t> </w:t>
      </w:r>
      <w:r>
        <w:rPr>
          <w:vertAlign w:val="baseline"/>
        </w:rPr>
        <w:t>on</w:t>
      </w:r>
    </w:p>
    <w:p>
      <w:pPr>
        <w:spacing w:before="111"/>
        <w:ind w:left="0" w:right="92" w:firstLine="0"/>
        <w:jc w:val="center"/>
        <w:rPr>
          <w:sz w:val="16"/>
        </w:rPr>
      </w:pPr>
      <w:r>
        <w:rPr/>
        <w:br w:type="column"/>
      </w:r>
      <w:r>
        <w:rPr>
          <w:sz w:val="16"/>
        </w:rPr>
        <w:t>Fig.</w:t>
      </w:r>
      <w:r>
        <w:rPr>
          <w:spacing w:val="10"/>
          <w:sz w:val="16"/>
        </w:rPr>
        <w:t> </w:t>
      </w:r>
      <w:r>
        <w:rPr>
          <w:sz w:val="16"/>
        </w:rPr>
        <w:t>3.</w:t>
      </w:r>
      <w:r>
        <w:rPr>
          <w:spacing w:val="63"/>
          <w:sz w:val="16"/>
        </w:rPr>
        <w:t> </w:t>
      </w:r>
      <w:r>
        <w:rPr>
          <w:sz w:val="16"/>
        </w:rPr>
        <w:t>Local</w:t>
      </w:r>
      <w:r>
        <w:rPr>
          <w:spacing w:val="11"/>
          <w:sz w:val="16"/>
        </w:rPr>
        <w:t> </w:t>
      </w:r>
      <w:r>
        <w:rPr>
          <w:sz w:val="16"/>
        </w:rPr>
        <w:t>SHAP</w:t>
      </w:r>
      <w:r>
        <w:rPr>
          <w:spacing w:val="10"/>
          <w:sz w:val="16"/>
        </w:rPr>
        <w:t> </w:t>
      </w:r>
      <w:r>
        <w:rPr>
          <w:sz w:val="16"/>
        </w:rPr>
        <w:t>attributions</w:t>
      </w:r>
      <w:r>
        <w:rPr>
          <w:spacing w:val="11"/>
          <w:sz w:val="16"/>
        </w:rPr>
        <w:t> </w:t>
      </w:r>
      <w:r>
        <w:rPr>
          <w:sz w:val="16"/>
        </w:rPr>
        <w:t>for</w:t>
      </w:r>
      <w:r>
        <w:rPr>
          <w:spacing w:val="11"/>
          <w:sz w:val="16"/>
        </w:rPr>
        <w:t> </w:t>
      </w:r>
      <w:r>
        <w:rPr>
          <w:sz w:val="16"/>
        </w:rPr>
        <w:t>transaction</w:t>
      </w:r>
      <w:r>
        <w:rPr>
          <w:spacing w:val="11"/>
          <w:sz w:val="16"/>
        </w:rPr>
        <w:t> </w:t>
      </w:r>
      <w:r>
        <w:rPr>
          <w:sz w:val="16"/>
        </w:rPr>
        <w:t>row</w:t>
      </w:r>
      <w:r>
        <w:rPr>
          <w:spacing w:val="11"/>
          <w:sz w:val="16"/>
        </w:rPr>
        <w:t> </w:t>
      </w:r>
      <w:r>
        <w:rPr>
          <w:sz w:val="16"/>
        </w:rPr>
        <w:t>12507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(TabNet).</w:t>
      </w:r>
    </w:p>
    <w:p>
      <w:pPr>
        <w:pStyle w:val="BodyText"/>
        <w:spacing w:before="84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3962120</wp:posOffset>
            </wp:positionH>
            <wp:positionV relativeFrom="paragraph">
              <wp:posOffset>214876</wp:posOffset>
            </wp:positionV>
            <wp:extent cx="3139344" cy="117643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344" cy="117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  <w:rPr>
          <w:sz w:val="16"/>
        </w:rPr>
      </w:pPr>
    </w:p>
    <w:p>
      <w:pPr>
        <w:spacing w:before="0"/>
        <w:ind w:left="0" w:right="92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> </w:t>
      </w:r>
      <w:r>
        <w:rPr>
          <w:sz w:val="16"/>
        </w:rPr>
        <w:t>4.</w:t>
      </w:r>
      <w:r>
        <w:rPr>
          <w:spacing w:val="63"/>
          <w:sz w:val="16"/>
        </w:rPr>
        <w:t> </w:t>
      </w:r>
      <w:r>
        <w:rPr>
          <w:sz w:val="16"/>
        </w:rPr>
        <w:t>LIME</w:t>
      </w:r>
      <w:r>
        <w:rPr>
          <w:spacing w:val="11"/>
          <w:sz w:val="16"/>
        </w:rPr>
        <w:t> </w:t>
      </w:r>
      <w:r>
        <w:rPr>
          <w:sz w:val="16"/>
        </w:rPr>
        <w:t>surrogate</w:t>
      </w:r>
      <w:r>
        <w:rPr>
          <w:spacing w:val="11"/>
          <w:sz w:val="16"/>
        </w:rPr>
        <w:t> </w:t>
      </w:r>
      <w:r>
        <w:rPr>
          <w:sz w:val="16"/>
        </w:rPr>
        <w:t>weights</w:t>
      </w:r>
      <w:r>
        <w:rPr>
          <w:spacing w:val="11"/>
          <w:sz w:val="16"/>
        </w:rPr>
        <w:t> </w:t>
      </w:r>
      <w:r>
        <w:rPr>
          <w:sz w:val="16"/>
        </w:rPr>
        <w:t>for</w:t>
      </w:r>
      <w:r>
        <w:rPr>
          <w:spacing w:val="11"/>
          <w:sz w:val="16"/>
        </w:rPr>
        <w:t> </w:t>
      </w:r>
      <w:r>
        <w:rPr>
          <w:sz w:val="16"/>
        </w:rPr>
        <w:t>transaction</w:t>
      </w:r>
      <w:r>
        <w:rPr>
          <w:spacing w:val="11"/>
          <w:sz w:val="16"/>
        </w:rPr>
        <w:t> </w:t>
      </w:r>
      <w:r>
        <w:rPr>
          <w:sz w:val="16"/>
        </w:rPr>
        <w:t>row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12507.</w:t>
      </w:r>
    </w:p>
    <w:p>
      <w:pPr>
        <w:pStyle w:val="BodyText"/>
        <w:rPr>
          <w:sz w:val="16"/>
        </w:rPr>
      </w:pPr>
    </w:p>
    <w:p>
      <w:pPr>
        <w:pStyle w:val="BodyText"/>
        <w:spacing w:before="124"/>
        <w:rPr>
          <w:sz w:val="16"/>
        </w:rPr>
      </w:pPr>
    </w:p>
    <w:p>
      <w:pPr>
        <w:pStyle w:val="BodyText"/>
        <w:spacing w:line="232" w:lineRule="auto"/>
        <w:ind w:left="164" w:right="257" w:firstLine="199"/>
        <w:jc w:val="both"/>
      </w:pPr>
      <w:r>
        <w:rPr>
          <w:b/>
        </w:rPr>
        <w:t>LIME. </w:t>
      </w:r>
      <w:r>
        <w:rPr/>
        <w:t>LIME fits a local ridge-regression surrogate </w:t>
      </w:r>
      <w:r>
        <w:rPr/>
        <w:t>and discretizes</w:t>
      </w:r>
      <w:r>
        <w:rPr>
          <w:spacing w:val="-5"/>
        </w:rPr>
        <w:t> </w:t>
      </w:r>
      <w:r>
        <w:rPr/>
        <w:t>continuous</w:t>
      </w:r>
      <w:r>
        <w:rPr>
          <w:spacing w:val="-5"/>
        </w:rPr>
        <w:t> </w:t>
      </w:r>
      <w:r>
        <w:rPr/>
        <w:t>inputs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rules</w:t>
      </w:r>
      <w:r>
        <w:rPr>
          <w:spacing w:val="-5"/>
        </w:rPr>
        <w:t> </w:t>
      </w:r>
      <w:r>
        <w:rPr/>
        <w:t>[4].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strongest</w:t>
      </w:r>
      <w:r>
        <w:rPr>
          <w:spacing w:val="-5"/>
        </w:rPr>
        <w:t> </w:t>
      </w:r>
      <w:r>
        <w:rPr/>
        <w:t>rules for</w:t>
      </w:r>
      <w:r>
        <w:rPr>
          <w:spacing w:val="10"/>
        </w:rPr>
        <w:t> </w:t>
      </w:r>
      <w:r>
        <w:rPr/>
        <w:t>row</w:t>
      </w:r>
      <w:r>
        <w:rPr>
          <w:spacing w:val="11"/>
        </w:rPr>
        <w:t> </w:t>
      </w:r>
      <w:r>
        <w:rPr/>
        <w:t>12507</w:t>
      </w:r>
      <w:r>
        <w:rPr>
          <w:spacing w:val="11"/>
        </w:rPr>
        <w:t> </w:t>
      </w:r>
      <w:r>
        <w:rPr/>
        <w:t>(Fig.</w:t>
      </w:r>
      <w:r>
        <w:rPr>
          <w:spacing w:val="11"/>
        </w:rPr>
        <w:t> </w:t>
      </w:r>
      <w:r>
        <w:rPr/>
        <w:t>4)</w:t>
      </w:r>
      <w:r>
        <w:rPr>
          <w:spacing w:val="11"/>
        </w:rPr>
        <w:t> </w:t>
      </w:r>
      <w:r>
        <w:rPr/>
        <w:t>are</w:t>
      </w:r>
      <w:r>
        <w:rPr>
          <w:spacing w:val="11"/>
        </w:rPr>
        <w:t> </w:t>
      </w:r>
      <w:r>
        <w:rPr>
          <w:rFonts w:ascii="Calibri" w:hAnsi="Calibri"/>
          <w:i/>
        </w:rPr>
        <w:t>V</w:t>
      </w:r>
      <w:r>
        <w:rPr>
          <w:rFonts w:ascii="Calibri" w:hAnsi="Calibri"/>
          <w:vertAlign w:val="subscript"/>
        </w:rPr>
        <w:t>4</w:t>
      </w:r>
      <w:r>
        <w:rPr>
          <w:rFonts w:ascii="Calibri" w:hAnsi="Calibri"/>
          <w:spacing w:val="7"/>
          <w:w w:val="125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&gt;</w:t>
      </w:r>
      <w:r>
        <w:rPr>
          <w:rFonts w:ascii="Calibri" w:hAnsi="Calibri"/>
          <w:i/>
          <w:spacing w:val="-2"/>
          <w:w w:val="125"/>
          <w:vertAlign w:val="baseline"/>
        </w:rPr>
        <w:t> </w:t>
      </w:r>
      <w:r>
        <w:rPr>
          <w:rFonts w:ascii="Calibri" w:hAnsi="Calibri"/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vertAlign w:val="baseline"/>
        </w:rPr>
        <w:t>65</w:t>
      </w:r>
      <w:r>
        <w:rPr>
          <w:vertAlign w:val="baseline"/>
        </w:rPr>
        <w:t>,</w:t>
      </w:r>
      <w:r>
        <w:rPr>
          <w:spacing w:val="11"/>
          <w:vertAlign w:val="baseline"/>
        </w:rPr>
        <w:t> 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vertAlign w:val="subscript"/>
        </w:rPr>
        <w:t>16</w:t>
      </w:r>
      <w:r>
        <w:rPr>
          <w:rFonts w:ascii="Calibri" w:hAnsi="Calibri"/>
          <w:spacing w:val="1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≤</w:t>
      </w:r>
      <w:r>
        <w:rPr>
          <w:rFonts w:ascii="Lucida Sans Unicode" w:hAnsi="Lucida Sans Unicode"/>
          <w:spacing w:val="-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Calibri" w:hAnsi="Calibri"/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vertAlign w:val="baseline"/>
        </w:rPr>
        <w:t>53</w:t>
      </w:r>
      <w:r>
        <w:rPr>
          <w:vertAlign w:val="baseline"/>
        </w:rPr>
        <w:t>,</w:t>
      </w:r>
      <w:r>
        <w:rPr>
          <w:spacing w:val="11"/>
          <w:vertAlign w:val="baseline"/>
        </w:rPr>
        <w:t> </w:t>
      </w:r>
      <w:r>
        <w:rPr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spacing w:val="-4"/>
          <w:vertAlign w:val="baseline"/>
        </w:rPr>
        <w:t>Time</w:t>
      </w:r>
    </w:p>
    <w:p>
      <w:pPr>
        <w:pStyle w:val="BodyText"/>
        <w:spacing w:line="207" w:lineRule="exact"/>
        <w:ind w:left="164"/>
        <w:jc w:val="both"/>
      </w:pPr>
      <w:r>
        <w:rPr>
          <w:rFonts w:ascii="Calibri"/>
          <w:i/>
          <w:w w:val="120"/>
        </w:rPr>
        <w:t>&gt;</w:t>
      </w:r>
      <w:r>
        <w:rPr>
          <w:rFonts w:ascii="Calibri"/>
          <w:i/>
          <w:spacing w:val="-14"/>
          <w:w w:val="120"/>
        </w:rPr>
        <w:t> </w:t>
      </w:r>
      <w:r>
        <w:rPr>
          <w:rFonts w:ascii="Calibri"/>
          <w:w w:val="105"/>
        </w:rPr>
        <w:t>0</w:t>
      </w:r>
      <w:r>
        <w:rPr>
          <w:rFonts w:ascii="Calibri"/>
          <w:i/>
          <w:w w:val="105"/>
        </w:rPr>
        <w:t>.</w:t>
      </w:r>
      <w:r>
        <w:rPr>
          <w:rFonts w:ascii="Calibri"/>
          <w:w w:val="105"/>
        </w:rPr>
        <w:t>81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standardized</w:t>
      </w:r>
      <w:r>
        <w:rPr>
          <w:spacing w:val="-8"/>
          <w:w w:val="105"/>
        </w:rPr>
        <w:t> </w:t>
      </w:r>
      <w:r>
        <w:rPr>
          <w:w w:val="105"/>
        </w:rPr>
        <w:t>features.</w:t>
      </w:r>
      <w:r>
        <w:rPr>
          <w:spacing w:val="-7"/>
          <w:w w:val="105"/>
        </w:rPr>
        <w:t> </w:t>
      </w:r>
      <w:r>
        <w:rPr>
          <w:w w:val="105"/>
        </w:rPr>
        <w:t>These</w:t>
      </w:r>
      <w:r>
        <w:rPr>
          <w:spacing w:val="-8"/>
          <w:w w:val="105"/>
        </w:rPr>
        <w:t> </w:t>
      </w:r>
      <w:r>
        <w:rPr>
          <w:w w:val="105"/>
        </w:rPr>
        <w:t>rules</w:t>
      </w:r>
      <w:r>
        <w:rPr>
          <w:spacing w:val="-7"/>
          <w:w w:val="105"/>
        </w:rPr>
        <w:t> </w:t>
      </w:r>
      <w:r>
        <w:rPr>
          <w:w w:val="105"/>
        </w:rPr>
        <w:t>describe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line="229" w:lineRule="exact"/>
        <w:ind w:left="16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760">
                <wp:simplePos x="0" y="0"/>
                <wp:positionH relativeFrom="page">
                  <wp:posOffset>5651969</wp:posOffset>
                </wp:positionH>
                <wp:positionV relativeFrom="paragraph">
                  <wp:posOffset>250077</wp:posOffset>
                </wp:positionV>
                <wp:extent cx="60960" cy="889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" w:lineRule="exact" w:before="0"/>
                              <w:ind w:left="0" w:right="0" w:firstLine="0"/>
                              <w:jc w:val="left"/>
                              <w:rPr>
                                <w:rFonts w:ascii="Segoe UI Symbol"/>
                                <w:sz w:val="14"/>
                              </w:rPr>
                            </w:pPr>
                            <w:r>
                              <w:rPr>
                                <w:rFonts w:ascii="Segoe UI Symbol"/>
                                <w:spacing w:val="-10"/>
                                <w:w w:val="145"/>
                                <w:sz w:val="1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036987pt;margin-top:19.691172pt;width:4.8pt;height:7pt;mso-position-horizontal-relative:page;mso-position-vertical-relative:paragraph;z-index:-15902720" type="#_x0000_t202" id="docshape4" filled="false" stroked="false">
                <v:textbox inset="0,0,0,0">
                  <w:txbxContent>
                    <w:p>
                      <w:pPr>
                        <w:spacing w:line="140" w:lineRule="exact" w:before="0"/>
                        <w:ind w:left="0" w:right="0" w:firstLine="0"/>
                        <w:jc w:val="left"/>
                        <w:rPr>
                          <w:rFonts w:ascii="Segoe UI Symbol"/>
                          <w:sz w:val="14"/>
                        </w:rPr>
                      </w:pPr>
                      <w:r>
                        <w:rPr>
                          <w:rFonts w:ascii="Segoe UI Symbol"/>
                          <w:spacing w:val="-10"/>
                          <w:w w:val="145"/>
                          <w:sz w:val="1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model</w:t>
      </w:r>
      <w:r>
        <w:rPr>
          <w:spacing w:val="13"/>
        </w:rPr>
        <w:t> </w:t>
      </w:r>
      <w:r>
        <w:rPr/>
        <w:t>near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transaction</w:t>
      </w:r>
      <w:r>
        <w:rPr>
          <w:spacing w:val="14"/>
        </w:rPr>
        <w:t> </w:t>
      </w:r>
      <w:r>
        <w:rPr>
          <w:spacing w:val="-2"/>
        </w:rPr>
        <w:t>only.</w:t>
      </w:r>
    </w:p>
    <w:p>
      <w:pPr>
        <w:pStyle w:val="BodyText"/>
        <w:spacing w:after="0" w:line="229" w:lineRule="exact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316" w:space="40"/>
            <w:col w:w="5444"/>
          </w:cols>
        </w:sectPr>
      </w:pPr>
    </w:p>
    <w:p>
      <w:pPr>
        <w:pStyle w:val="BodyText"/>
        <w:spacing w:before="14"/>
        <w:ind w:left="259"/>
      </w:pPr>
      <w:r>
        <w:rPr/>
        <w:t>this</w:t>
      </w:r>
      <w:r>
        <w:rPr>
          <w:spacing w:val="14"/>
        </w:rPr>
        <w:t> </w:t>
      </w:r>
      <w:r>
        <w:rPr/>
        <w:t>pattern</w:t>
      </w:r>
      <w:r>
        <w:rPr>
          <w:spacing w:val="15"/>
        </w:rPr>
        <w:t> </w:t>
      </w:r>
      <w:r>
        <w:rPr/>
        <w:t>than,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any</w:t>
      </w:r>
      <w:r>
        <w:rPr>
          <w:spacing w:val="15"/>
        </w:rPr>
        <w:t> </w:t>
      </w:r>
      <w:r>
        <w:rPr/>
        <w:t>one</w:t>
      </w:r>
      <w:r>
        <w:rPr>
          <w:spacing w:val="15"/>
        </w:rPr>
        <w:t> </w:t>
      </w:r>
      <w:r>
        <w:rPr/>
        <w:t>feature</w:t>
      </w:r>
      <w:r>
        <w:rPr>
          <w:spacing w:val="15"/>
        </w:rPr>
        <w:t> </w:t>
      </w:r>
      <w:r>
        <w:rPr>
          <w:spacing w:val="-2"/>
        </w:rPr>
        <w:t>alone.</w:t>
      </w:r>
    </w:p>
    <w:p>
      <w:pPr>
        <w:spacing w:line="289" w:lineRule="exact" w:before="0"/>
        <w:ind w:left="259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b/>
          <w:sz w:val="20"/>
        </w:rPr>
        <w:t>Directional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agreement.</w:t>
      </w:r>
      <w:r>
        <w:rPr>
          <w:b/>
          <w:spacing w:val="9"/>
          <w:sz w:val="20"/>
        </w:rPr>
        <w:t> </w:t>
      </w:r>
      <w:r>
        <w:rPr>
          <w:sz w:val="20"/>
        </w:rPr>
        <w:t>Let</w:t>
      </w:r>
      <w:r>
        <w:rPr>
          <w:spacing w:val="10"/>
          <w:sz w:val="20"/>
        </w:rPr>
        <w:t> </w:t>
      </w:r>
      <w:r>
        <w:rPr>
          <w:rFonts w:ascii="Lucida Sans Unicode" w:hAnsi="Lucida Sans Unicode"/>
          <w:spacing w:val="-9"/>
          <w:sz w:val="20"/>
        </w:rPr>
        <w:t>C</w:t>
      </w:r>
      <w:r>
        <w:rPr>
          <w:rFonts w:ascii="Cambria" w:hAnsi="Cambria"/>
          <w:spacing w:val="-9"/>
          <w:sz w:val="20"/>
          <w:vertAlign w:val="superscript"/>
        </w:rPr>
        <w:t>′</w:t>
      </w:r>
    </w:p>
    <w:p>
      <w:pPr>
        <w:pStyle w:val="BodyText"/>
        <w:spacing w:before="14"/>
        <w:ind w:left="77"/>
      </w:pPr>
      <w:r>
        <w:rPr/>
        <w:br w:type="column"/>
      </w:r>
      <w:r>
        <w:rPr/>
        <w:t>be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features</w:t>
      </w:r>
      <w:r>
        <w:rPr>
          <w:spacing w:val="15"/>
        </w:rPr>
        <w:t> </w:t>
      </w:r>
      <w:r>
        <w:rPr/>
        <w:t>reported</w:t>
      </w:r>
      <w:r>
        <w:rPr>
          <w:spacing w:val="14"/>
        </w:rPr>
        <w:t> </w:t>
      </w:r>
      <w:r>
        <w:rPr>
          <w:spacing w:val="-5"/>
        </w:rPr>
        <w:t>by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3" w:equalWidth="0">
            <w:col w:w="3828" w:space="1631"/>
            <w:col w:w="2779" w:space="40"/>
            <w:col w:w="2522"/>
          </w:cols>
        </w:sectPr>
      </w:pPr>
    </w:p>
    <w:p>
      <w:pPr>
        <w:spacing w:line="182" w:lineRule="exact" w:before="109"/>
        <w:ind w:left="264" w:right="9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264" w:right="0" w:firstLine="0"/>
        <w:jc w:val="center"/>
        <w:rPr>
          <w:sz w:val="16"/>
        </w:rPr>
      </w:pPr>
      <w:r>
        <w:rPr>
          <w:smallCaps/>
          <w:sz w:val="16"/>
        </w:rPr>
        <w:t>SHAP–LIME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Directional</w:t>
      </w:r>
      <w:r>
        <w:rPr>
          <w:smallCaps/>
          <w:spacing w:val="43"/>
          <w:sz w:val="16"/>
        </w:rPr>
        <w:t> </w:t>
      </w:r>
      <w:r>
        <w:rPr>
          <w:smallCaps/>
          <w:sz w:val="16"/>
        </w:rPr>
        <w:t>Agreement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for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Row</w:t>
      </w:r>
      <w:r>
        <w:rPr>
          <w:smallCaps/>
          <w:spacing w:val="43"/>
          <w:sz w:val="16"/>
        </w:rPr>
        <w:t> </w:t>
      </w:r>
      <w:r>
        <w:rPr>
          <w:smallCaps/>
          <w:spacing w:val="-4"/>
          <w:sz w:val="16"/>
        </w:rPr>
        <w:t>12507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1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"/>
        <w:gridCol w:w="1010"/>
        <w:gridCol w:w="841"/>
        <w:gridCol w:w="643"/>
      </w:tblGrid>
      <w:tr>
        <w:trPr>
          <w:trHeight w:val="271" w:hRule="atLeast"/>
        </w:trPr>
        <w:tc>
          <w:tcPr>
            <w:tcW w:w="76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Feature</w:t>
            </w:r>
          </w:p>
        </w:tc>
        <w:tc>
          <w:tcPr>
            <w:tcW w:w="101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right="116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SHAP</w:t>
            </w:r>
          </w:p>
        </w:tc>
        <w:tc>
          <w:tcPr>
            <w:tcW w:w="84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right="116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LIME</w:t>
            </w:r>
          </w:p>
        </w:tc>
        <w:tc>
          <w:tcPr>
            <w:tcW w:w="64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3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Agree</w:t>
            </w:r>
          </w:p>
        </w:tc>
      </w:tr>
      <w:tr>
        <w:trPr>
          <w:trHeight w:val="222" w:hRule="atLeast"/>
        </w:trPr>
        <w:tc>
          <w:tcPr>
            <w:tcW w:w="7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Amount</w:t>
            </w:r>
          </w:p>
        </w:tc>
        <w:tc>
          <w:tcPr>
            <w:tcW w:w="10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 w:before="31"/>
              <w:ind w:right="116"/>
              <w:jc w:val="right"/>
              <w:rPr>
                <w:rFonts w:ascii="Calibri" w:hAnsi="Calibri"/>
                <w:sz w:val="16"/>
              </w:rPr>
            </w:pPr>
            <w:r>
              <w:rPr>
                <w:rFonts w:ascii="Arial" w:hAnsi="Arial"/>
                <w:i/>
                <w:spacing w:val="-2"/>
                <w:w w:val="110"/>
                <w:sz w:val="16"/>
              </w:rPr>
              <w:t>−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000512</w:t>
            </w:r>
          </w:p>
        </w:tc>
        <w:tc>
          <w:tcPr>
            <w:tcW w:w="8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 w:before="31"/>
              <w:ind w:right="116"/>
              <w:jc w:val="right"/>
              <w:rPr>
                <w:rFonts w:ascii="Calibri" w:hAnsi="Calibri"/>
                <w:sz w:val="16"/>
              </w:rPr>
            </w:pPr>
            <w:r>
              <w:rPr>
                <w:rFonts w:ascii="Arial" w:hAnsi="Arial"/>
                <w:i/>
                <w:spacing w:val="-2"/>
                <w:w w:val="110"/>
                <w:sz w:val="16"/>
              </w:rPr>
              <w:t>−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0052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</w:tr>
      <w:tr>
        <w:trPr>
          <w:trHeight w:val="182" w:hRule="atLeast"/>
        </w:trPr>
        <w:tc>
          <w:tcPr>
            <w:tcW w:w="763" w:type="dxa"/>
          </w:tcPr>
          <w:p>
            <w:pPr>
              <w:pStyle w:val="TableParagraph"/>
              <w:spacing w:line="163" w:lineRule="exact"/>
              <w:ind w:left="119"/>
              <w:jc w:val="left"/>
              <w:rPr>
                <w:rFonts w:ascii="Bookman Old Style"/>
                <w:sz w:val="12"/>
              </w:rPr>
            </w:pPr>
            <w:r>
              <w:rPr>
                <w:rFonts w:ascii="Calibri"/>
                <w:i/>
                <w:spacing w:val="-5"/>
                <w:position w:val="2"/>
                <w:sz w:val="16"/>
              </w:rPr>
              <w:t>V</w:t>
            </w:r>
            <w:r>
              <w:rPr>
                <w:rFonts w:ascii="Bookman Old Style"/>
                <w:spacing w:val="-5"/>
                <w:sz w:val="12"/>
              </w:rPr>
              <w:t>13</w:t>
            </w:r>
          </w:p>
        </w:tc>
        <w:tc>
          <w:tcPr>
            <w:tcW w:w="1010" w:type="dxa"/>
          </w:tcPr>
          <w:p>
            <w:pPr>
              <w:pStyle w:val="TableParagraph"/>
              <w:spacing w:line="163" w:lineRule="exact"/>
              <w:ind w:right="116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w w:val="110"/>
                <w:sz w:val="16"/>
              </w:rPr>
              <w:t>+0</w:t>
            </w:r>
            <w:r>
              <w:rPr>
                <w:rFonts w:ascii="Calibri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Calibri"/>
                <w:spacing w:val="-2"/>
                <w:w w:val="110"/>
                <w:sz w:val="16"/>
              </w:rPr>
              <w:t>000664</w:t>
            </w:r>
          </w:p>
        </w:tc>
        <w:tc>
          <w:tcPr>
            <w:tcW w:w="841" w:type="dxa"/>
          </w:tcPr>
          <w:p>
            <w:pPr>
              <w:pStyle w:val="TableParagraph"/>
              <w:spacing w:line="163" w:lineRule="exact"/>
              <w:ind w:right="116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w w:val="115"/>
                <w:sz w:val="16"/>
              </w:rPr>
              <w:t>+0</w:t>
            </w:r>
            <w:r>
              <w:rPr>
                <w:rFonts w:ascii="Calibri"/>
                <w:i/>
                <w:spacing w:val="-2"/>
                <w:w w:val="115"/>
                <w:sz w:val="16"/>
              </w:rPr>
              <w:t>.</w:t>
            </w:r>
            <w:r>
              <w:rPr>
                <w:rFonts w:ascii="Calibri"/>
                <w:spacing w:val="-2"/>
                <w:w w:val="115"/>
                <w:sz w:val="16"/>
              </w:rPr>
              <w:t>0050</w:t>
            </w:r>
          </w:p>
        </w:tc>
        <w:tc>
          <w:tcPr>
            <w:tcW w:w="643" w:type="dxa"/>
          </w:tcPr>
          <w:p>
            <w:pPr>
              <w:pStyle w:val="TableParagraph"/>
              <w:spacing w:line="163" w:lineRule="exact"/>
              <w:ind w:left="3" w:right="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</w:tr>
      <w:tr>
        <w:trPr>
          <w:trHeight w:val="224" w:hRule="atLeast"/>
        </w:trPr>
        <w:tc>
          <w:tcPr>
            <w:tcW w:w="7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7" w:lineRule="exact"/>
              <w:ind w:left="119"/>
              <w:jc w:val="left"/>
              <w:rPr>
                <w:rFonts w:ascii="Bookman Old Style"/>
                <w:sz w:val="12"/>
              </w:rPr>
            </w:pPr>
            <w:r>
              <w:rPr>
                <w:rFonts w:ascii="Calibri"/>
                <w:i/>
                <w:spacing w:val="-5"/>
                <w:position w:val="2"/>
                <w:sz w:val="16"/>
              </w:rPr>
              <w:t>V</w:t>
            </w:r>
            <w:r>
              <w:rPr>
                <w:rFonts w:ascii="Bookman Old Style"/>
                <w:spacing w:val="-5"/>
                <w:sz w:val="12"/>
              </w:rPr>
              <w:t>12</w:t>
            </w:r>
          </w:p>
        </w:tc>
        <w:tc>
          <w:tcPr>
            <w:tcW w:w="10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/>
              <w:ind w:right="116"/>
              <w:jc w:val="right"/>
              <w:rPr>
                <w:rFonts w:ascii="Calibri" w:hAnsi="Calibri"/>
                <w:sz w:val="16"/>
              </w:rPr>
            </w:pPr>
            <w:r>
              <w:rPr>
                <w:rFonts w:ascii="Arial" w:hAnsi="Arial"/>
                <w:i/>
                <w:spacing w:val="-2"/>
                <w:w w:val="110"/>
                <w:sz w:val="16"/>
              </w:rPr>
              <w:t>−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000841</w:t>
            </w:r>
          </w:p>
        </w:tc>
        <w:tc>
          <w:tcPr>
            <w:tcW w:w="8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/>
              <w:ind w:right="116"/>
              <w:jc w:val="right"/>
              <w:rPr>
                <w:rFonts w:ascii="Calibri" w:hAnsi="Calibri"/>
                <w:sz w:val="16"/>
              </w:rPr>
            </w:pPr>
            <w:r>
              <w:rPr>
                <w:rFonts w:ascii="Arial" w:hAnsi="Arial"/>
                <w:i/>
                <w:spacing w:val="-2"/>
                <w:w w:val="110"/>
                <w:sz w:val="16"/>
              </w:rPr>
              <w:t>−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0039</w:t>
            </w:r>
          </w:p>
        </w:tc>
        <w:tc>
          <w:tcPr>
            <w:tcW w:w="6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2" w:lineRule="exact"/>
              <w:ind w:left="3" w:right="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</w:tr>
    </w:tbl>
    <w:p>
      <w:pPr>
        <w:pStyle w:val="BodyText"/>
        <w:spacing w:before="40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621842</wp:posOffset>
            </wp:positionH>
            <wp:positionV relativeFrom="paragraph">
              <wp:posOffset>186762</wp:posOffset>
            </wp:positionV>
            <wp:extent cx="3165633" cy="136264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633" cy="1362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1"/>
        <w:rPr>
          <w:sz w:val="12"/>
        </w:rPr>
      </w:pPr>
    </w:p>
    <w:p>
      <w:pPr>
        <w:spacing w:line="232" w:lineRule="auto" w:before="0"/>
        <w:ind w:left="259" w:right="0" w:firstLine="0"/>
        <w:jc w:val="left"/>
        <w:rPr>
          <w:sz w:val="16"/>
        </w:rPr>
      </w:pPr>
      <w:r>
        <w:rPr>
          <w:sz w:val="16"/>
        </w:rPr>
        <w:t>Fig. 5.</w:t>
      </w:r>
      <w:r>
        <w:rPr>
          <w:spacing w:val="40"/>
          <w:sz w:val="16"/>
        </w:rPr>
        <w:t> </w:t>
      </w:r>
      <w:r>
        <w:rPr>
          <w:sz w:val="16"/>
        </w:rPr>
        <w:t>Top 15 features by mean absolute SHAP value over 20 sampled test</w:t>
      </w:r>
      <w:r>
        <w:rPr>
          <w:spacing w:val="40"/>
          <w:sz w:val="16"/>
        </w:rPr>
        <w:t> </w:t>
      </w:r>
      <w:r>
        <w:rPr>
          <w:sz w:val="16"/>
        </w:rPr>
        <w:t>transactions. The ranking reflects magnitude, not direction.</w:t>
      </w:r>
    </w:p>
    <w:p>
      <w:pPr>
        <w:pStyle w:val="BodyText"/>
        <w:rPr>
          <w:sz w:val="16"/>
        </w:rPr>
      </w:pPr>
    </w:p>
    <w:p>
      <w:pPr>
        <w:pStyle w:val="BodyText"/>
        <w:spacing w:before="83"/>
        <w:rPr>
          <w:sz w:val="16"/>
        </w:rPr>
      </w:pPr>
    </w:p>
    <w:p>
      <w:pPr>
        <w:pStyle w:val="BodyText"/>
        <w:spacing w:line="247" w:lineRule="auto" w:before="1"/>
        <w:ind w:left="259"/>
      </w:pPr>
      <w:r>
        <w:rPr/>
        <w:t>both</w:t>
      </w:r>
      <w:r>
        <w:rPr>
          <w:spacing w:val="34"/>
        </w:rPr>
        <w:t> </w:t>
      </w:r>
      <w:r>
        <w:rPr/>
        <w:t>SHAP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LIME</w:t>
      </w:r>
      <w:r>
        <w:rPr>
          <w:spacing w:val="34"/>
        </w:rPr>
        <w:t> </w:t>
      </w:r>
      <w:r>
        <w:rPr/>
        <w:t>for</w:t>
      </w:r>
      <w:r>
        <w:rPr>
          <w:spacing w:val="34"/>
        </w:rPr>
        <w:t> </w:t>
      </w:r>
      <w:r>
        <w:rPr/>
        <w:t>transaction</w:t>
      </w:r>
      <w:r>
        <w:rPr>
          <w:spacing w:val="34"/>
        </w:rPr>
        <w:t> </w:t>
      </w:r>
      <w:r>
        <w:rPr>
          <w:rFonts w:ascii="Bookman Old Style"/>
          <w:b/>
        </w:rPr>
        <w:t>x</w:t>
      </w:r>
      <w:r>
        <w:rPr/>
        <w:t>,</w:t>
      </w:r>
      <w:r>
        <w:rPr>
          <w:spacing w:val="34"/>
        </w:rPr>
        <w:t> </w:t>
      </w:r>
      <w:r>
        <w:rPr/>
        <w:t>excluding</w:t>
      </w:r>
      <w:r>
        <w:rPr>
          <w:spacing w:val="34"/>
        </w:rPr>
        <w:t> </w:t>
      </w:r>
      <w:r>
        <w:rPr/>
        <w:t>zero</w:t>
      </w:r>
      <w:r>
        <w:rPr>
          <w:spacing w:val="34"/>
        </w:rPr>
        <w:t> </w:t>
      </w:r>
      <w:r>
        <w:rPr/>
        <w:t>or undefined values. We define</w:t>
      </w:r>
    </w:p>
    <w:p>
      <w:pPr>
        <w:pStyle w:val="BodyText"/>
        <w:spacing w:before="71"/>
        <w:ind w:left="1902"/>
      </w:pPr>
      <w:r>
        <w:rPr/>
        <w:br w:type="column"/>
      </w:r>
      <w:r>
        <w:rPr>
          <w:smallCaps/>
        </w:rPr>
        <w:t>V</w:t>
      </w:r>
      <w:r>
        <w:rPr>
          <w:smallCaps/>
        </w:rPr>
        <w:t>I</w:t>
      </w:r>
      <w:r>
        <w:rPr>
          <w:smallCaps/>
        </w:rPr>
        <w:t>I</w:t>
      </w:r>
      <w:r>
        <w:rPr>
          <w:smallCaps/>
        </w:rPr>
        <w:t>.</w:t>
      </w:r>
      <w:r>
        <w:rPr>
          <w:smallCaps/>
          <w:spacing w:val="10"/>
        </w:rPr>
        <w:t> </w:t>
      </w:r>
      <w:r>
        <w:rPr>
          <w:smallCaps/>
          <w:spacing w:val="22"/>
        </w:rPr>
        <w:t> </w:t>
      </w:r>
      <w:r>
        <w:rPr>
          <w:smallCaps/>
          <w:spacing w:val="-2"/>
        </w:rPr>
        <w:t>C</w:t>
      </w:r>
      <w:r>
        <w:rPr>
          <w:smallCaps/>
          <w:spacing w:val="-2"/>
        </w:rPr>
        <w:t>o</w:t>
      </w:r>
      <w:r>
        <w:rPr>
          <w:smallCaps/>
          <w:spacing w:val="-2"/>
        </w:rPr>
        <w:t>n</w:t>
      </w:r>
      <w:r>
        <w:rPr>
          <w:smallCaps/>
          <w:spacing w:val="-2"/>
        </w:rPr>
        <w:t>c</w:t>
      </w:r>
      <w:r>
        <w:rPr>
          <w:smallCaps/>
          <w:spacing w:val="-2"/>
        </w:rPr>
        <w:t>l</w:t>
      </w:r>
      <w:r>
        <w:rPr>
          <w:smallCaps/>
          <w:spacing w:val="-2"/>
        </w:rPr>
        <w:t>u</w:t>
      </w:r>
      <w:r>
        <w:rPr>
          <w:smallCaps/>
          <w:spacing w:val="-2"/>
        </w:rPr>
        <w:t>s</w:t>
      </w:r>
      <w:r>
        <w:rPr>
          <w:smallCaps/>
          <w:spacing w:val="-2"/>
        </w:rPr>
        <w:t>i</w:t>
      </w:r>
      <w:r>
        <w:rPr>
          <w:smallCaps/>
          <w:spacing w:val="-2"/>
        </w:rPr>
        <w:t>o</w:t>
      </w:r>
      <w:r>
        <w:rPr>
          <w:smallCaps/>
          <w:spacing w:val="-2"/>
        </w:rPr>
        <w:t>n</w:t>
      </w:r>
    </w:p>
    <w:p>
      <w:pPr>
        <w:pStyle w:val="BodyText"/>
        <w:spacing w:line="249" w:lineRule="auto" w:before="72"/>
        <w:ind w:left="188" w:right="222" w:firstLine="206"/>
        <w:jc w:val="both"/>
      </w:pPr>
      <w:r>
        <w:rPr/>
        <w:t>TabNet, MLP and FT-Transformer on a credit card fraud dataset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highly</w:t>
      </w:r>
      <w:r>
        <w:rPr>
          <w:spacing w:val="-5"/>
        </w:rPr>
        <w:t> </w:t>
      </w:r>
      <w:r>
        <w:rPr/>
        <w:t>skewed.</w:t>
      </w:r>
      <w:r>
        <w:rPr>
          <w:spacing w:val="-5"/>
        </w:rPr>
        <w:t> </w:t>
      </w:r>
      <w:r>
        <w:rPr/>
        <w:t>TabNet</w:t>
      </w:r>
      <w:r>
        <w:rPr>
          <w:spacing w:val="-5"/>
        </w:rPr>
        <w:t> </w:t>
      </w:r>
      <w:r>
        <w:rPr/>
        <w:t>achieved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PR-AUC, precision and F1 score. MLP performed best in ROC-AUC. FT-Transformer performed best in recall. SHAP and LIME agreed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importance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attributes:</w:t>
      </w:r>
      <w:r>
        <w:rPr>
          <w:spacing w:val="-1"/>
        </w:rPr>
        <w:t> </w:t>
      </w:r>
      <w:r>
        <w:rPr/>
        <w:t>Amount,</w:t>
      </w:r>
      <w:r>
        <w:rPr>
          <w:spacing w:val="-1"/>
        </w:rPr>
        <w:t> </w:t>
      </w:r>
      <w:r>
        <w:rPr/>
        <w:t>V12</w:t>
      </w:r>
      <w:r>
        <w:rPr>
          <w:spacing w:val="-1"/>
        </w:rPr>
        <w:t> </w:t>
      </w:r>
      <w:r>
        <w:rPr/>
        <w:t>and V13 for a transaction. This agreement produced a consensus score that will help in future large-scale evaluations. I believe </w:t>
      </w:r>
      <w:r>
        <w:rPr>
          <w:spacing w:val="-2"/>
        </w:rPr>
        <w:t>that evaluating performance, explanation consistency and causal </w:t>
      </w:r>
      <w:r>
        <w:rPr/>
        <w:t>validity should be done separately.</w:t>
      </w:r>
    </w:p>
    <w:p>
      <w:pPr>
        <w:pStyle w:val="BodyText"/>
        <w:spacing w:before="134"/>
        <w:ind w:right="61"/>
        <w:jc w:val="center"/>
      </w:pP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559" w:val="left" w:leader="none"/>
          <w:tab w:pos="561" w:val="left" w:leader="none"/>
        </w:tabs>
        <w:spacing w:line="232" w:lineRule="auto" w:before="108" w:after="0"/>
        <w:ind w:left="561" w:right="254" w:hanging="286"/>
        <w:jc w:val="both"/>
        <w:rPr>
          <w:sz w:val="16"/>
        </w:rPr>
      </w:pPr>
      <w:r>
        <w:rPr>
          <w:sz w:val="16"/>
        </w:rPr>
        <w:t>S. O. Arik and T. Pfister, “TabNet: Attentive Interpretable </w:t>
      </w:r>
      <w:r>
        <w:rPr>
          <w:sz w:val="16"/>
        </w:rPr>
        <w:t>Tabular</w:t>
      </w:r>
      <w:r>
        <w:rPr>
          <w:spacing w:val="40"/>
          <w:sz w:val="16"/>
        </w:rPr>
        <w:t> </w:t>
      </w:r>
      <w:r>
        <w:rPr>
          <w:sz w:val="16"/>
        </w:rPr>
        <w:t>Learning,” </w:t>
      </w:r>
      <w:r>
        <w:rPr>
          <w:i/>
          <w:sz w:val="16"/>
        </w:rPr>
        <w:t>arXiv preprint arXiv:1908.07442</w:t>
      </w:r>
      <w:r>
        <w:rPr>
          <w:sz w:val="16"/>
        </w:rPr>
        <w:t>, 2019.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  <w:tab w:pos="559" w:val="left" w:leader="none"/>
        </w:tabs>
        <w:spacing w:line="232" w:lineRule="auto" w:before="1" w:after="0"/>
        <w:ind w:left="556" w:right="257" w:hanging="281"/>
        <w:jc w:val="both"/>
        <w:rPr>
          <w:sz w:val="16"/>
        </w:rPr>
      </w:pPr>
      <w:r>
        <w:rPr>
          <w:spacing w:val="-4"/>
          <w:sz w:val="16"/>
        </w:rPr>
        <w:t>Y.</w:t>
      </w:r>
      <w:r>
        <w:rPr>
          <w:spacing w:val="-4"/>
          <w:sz w:val="16"/>
        </w:rPr>
        <w:t> Gorishniy, I. Rubachev, V. Khrulkov, and A. Babenko, “Revisiting Deep</w:t>
      </w:r>
      <w:r>
        <w:rPr>
          <w:spacing w:val="40"/>
          <w:sz w:val="16"/>
        </w:rPr>
        <w:t> </w:t>
      </w:r>
      <w:r>
        <w:rPr>
          <w:sz w:val="16"/>
        </w:rPr>
        <w:t>Learning Models for Tabular Data,” in </w:t>
      </w:r>
      <w:r>
        <w:rPr>
          <w:i/>
          <w:sz w:val="16"/>
        </w:rPr>
        <w:t>Advances in Neural Information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Processing Systems</w:t>
      </w:r>
      <w:r>
        <w:rPr>
          <w:sz w:val="16"/>
        </w:rPr>
        <w:t>, vol. 34, 2021.</w:t>
      </w:r>
    </w:p>
    <w:p>
      <w:pPr>
        <w:pStyle w:val="ListParagraph"/>
        <w:numPr>
          <w:ilvl w:val="0"/>
          <w:numId w:val="2"/>
        </w:numPr>
        <w:tabs>
          <w:tab w:pos="559" w:val="left" w:leader="none"/>
          <w:tab w:pos="561" w:val="left" w:leader="none"/>
        </w:tabs>
        <w:spacing w:line="232" w:lineRule="auto" w:before="3" w:after="0"/>
        <w:ind w:left="561" w:right="229" w:hanging="286"/>
        <w:jc w:val="both"/>
        <w:rPr>
          <w:sz w:val="16"/>
        </w:rPr>
      </w:pPr>
      <w:r>
        <w:rPr>
          <w:sz w:val="16"/>
        </w:rPr>
        <w:t>S.</w:t>
      </w:r>
      <w:r>
        <w:rPr>
          <w:spacing w:val="-10"/>
          <w:sz w:val="16"/>
        </w:rPr>
        <w:t> </w:t>
      </w:r>
      <w:r>
        <w:rPr>
          <w:sz w:val="16"/>
        </w:rPr>
        <w:t>M.</w:t>
      </w:r>
      <w:r>
        <w:rPr>
          <w:spacing w:val="-10"/>
          <w:sz w:val="16"/>
        </w:rPr>
        <w:t> </w:t>
      </w:r>
      <w:r>
        <w:rPr>
          <w:sz w:val="16"/>
        </w:rPr>
        <w:t>Lundberg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S.-I.</w:t>
      </w:r>
      <w:r>
        <w:rPr>
          <w:spacing w:val="-10"/>
          <w:sz w:val="16"/>
        </w:rPr>
        <w:t> </w:t>
      </w:r>
      <w:r>
        <w:rPr>
          <w:sz w:val="16"/>
        </w:rPr>
        <w:t>Lee,</w:t>
      </w:r>
      <w:r>
        <w:rPr>
          <w:spacing w:val="-10"/>
          <w:sz w:val="16"/>
        </w:rPr>
        <w:t> </w:t>
      </w:r>
      <w:r>
        <w:rPr>
          <w:sz w:val="16"/>
        </w:rPr>
        <w:t>“A</w:t>
      </w:r>
      <w:r>
        <w:rPr>
          <w:spacing w:val="-10"/>
          <w:sz w:val="16"/>
        </w:rPr>
        <w:t> </w:t>
      </w:r>
      <w:r>
        <w:rPr>
          <w:sz w:val="16"/>
        </w:rPr>
        <w:t>Unified</w:t>
      </w:r>
      <w:r>
        <w:rPr>
          <w:spacing w:val="-10"/>
          <w:sz w:val="16"/>
        </w:rPr>
        <w:t> </w:t>
      </w:r>
      <w:r>
        <w:rPr>
          <w:sz w:val="16"/>
        </w:rPr>
        <w:t>Approach</w:t>
      </w:r>
      <w:r>
        <w:rPr>
          <w:spacing w:val="-10"/>
          <w:sz w:val="16"/>
        </w:rPr>
        <w:t> </w:t>
      </w:r>
      <w:r>
        <w:rPr>
          <w:sz w:val="16"/>
        </w:rPr>
        <w:t>to</w:t>
      </w:r>
      <w:r>
        <w:rPr>
          <w:spacing w:val="-10"/>
          <w:sz w:val="16"/>
        </w:rPr>
        <w:t> </w:t>
      </w:r>
      <w:r>
        <w:rPr>
          <w:sz w:val="16"/>
        </w:rPr>
        <w:t>Interpreting</w:t>
      </w:r>
      <w:r>
        <w:rPr>
          <w:spacing w:val="-10"/>
          <w:sz w:val="16"/>
        </w:rPr>
        <w:t> </w:t>
      </w:r>
      <w:r>
        <w:rPr>
          <w:sz w:val="16"/>
        </w:rPr>
        <w:t>Model</w:t>
      </w:r>
      <w:r>
        <w:rPr>
          <w:spacing w:val="40"/>
          <w:sz w:val="16"/>
        </w:rPr>
        <w:t> </w:t>
      </w:r>
      <w:r>
        <w:rPr>
          <w:sz w:val="16"/>
        </w:rPr>
        <w:t>Predictions,”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i/>
          <w:sz w:val="16"/>
        </w:rPr>
        <w:t>Advances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Neural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Information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Processing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Systems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vol.</w:t>
      </w:r>
      <w:r>
        <w:rPr>
          <w:spacing w:val="40"/>
          <w:sz w:val="16"/>
        </w:rPr>
        <w:t> </w:t>
      </w:r>
      <w:r>
        <w:rPr>
          <w:sz w:val="16"/>
        </w:rPr>
        <w:t>30, 2017.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  <w:tab w:pos="559" w:val="left" w:leader="none"/>
        </w:tabs>
        <w:spacing w:line="232" w:lineRule="auto" w:before="3" w:after="0"/>
        <w:ind w:left="551" w:right="235" w:hanging="276"/>
        <w:jc w:val="both"/>
        <w:rPr>
          <w:sz w:val="16"/>
        </w:rPr>
      </w:pPr>
      <w:r>
        <w:rPr>
          <w:sz w:val="16"/>
        </w:rPr>
        <w:t>M.</w:t>
      </w:r>
      <w:r>
        <w:rPr>
          <w:sz w:val="16"/>
        </w:rPr>
        <w:t> T. Ribeiro, S. Singh, and C. Guestrin, “Why Should I Trust You?:</w:t>
      </w:r>
      <w:r>
        <w:rPr>
          <w:spacing w:val="40"/>
          <w:sz w:val="16"/>
        </w:rPr>
        <w:t> </w:t>
      </w:r>
      <w:r>
        <w:rPr>
          <w:sz w:val="16"/>
        </w:rPr>
        <w:t>Explaining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7"/>
          <w:sz w:val="16"/>
        </w:rPr>
        <w:t> </w:t>
      </w:r>
      <w:r>
        <w:rPr>
          <w:sz w:val="16"/>
        </w:rPr>
        <w:t>Predictions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-7"/>
          <w:sz w:val="16"/>
        </w:rPr>
        <w:t> </w:t>
      </w:r>
      <w:r>
        <w:rPr>
          <w:sz w:val="16"/>
        </w:rPr>
        <w:t>Any</w:t>
      </w:r>
      <w:r>
        <w:rPr>
          <w:spacing w:val="-7"/>
          <w:sz w:val="16"/>
        </w:rPr>
        <w:t> </w:t>
      </w:r>
      <w:r>
        <w:rPr>
          <w:sz w:val="16"/>
        </w:rPr>
        <w:t>Classifier,”</w:t>
      </w:r>
      <w:r>
        <w:rPr>
          <w:spacing w:val="-7"/>
          <w:sz w:val="16"/>
        </w:rPr>
        <w:t> </w:t>
      </w: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i/>
          <w:sz w:val="16"/>
        </w:rPr>
        <w:t>Proceedings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22nd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ACM SIGKDD International Conference on Knowledge Discovery and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Data Mining</w:t>
      </w:r>
      <w:r>
        <w:rPr>
          <w:sz w:val="16"/>
        </w:rPr>
        <w:t>, 2016, pp. 1135–1144.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58" w:val="left" w:leader="none"/>
        </w:tabs>
        <w:spacing w:line="180" w:lineRule="exact" w:before="0" w:after="0"/>
        <w:ind w:left="539" w:right="237" w:hanging="265"/>
        <w:jc w:val="both"/>
        <w:rPr>
          <w:sz w:val="16"/>
        </w:rPr>
      </w:pPr>
      <w:r>
        <w:rPr>
          <w:sz w:val="16"/>
        </w:rPr>
        <w:t>A.</w:t>
      </w:r>
      <w:r>
        <w:rPr>
          <w:sz w:val="16"/>
        </w:rPr>
        <w:t> Dal Pozzolo, G. Boracchi, O. Caelen, C. Alippi, and B. </w:t>
      </w:r>
      <w:r>
        <w:rPr>
          <w:sz w:val="16"/>
        </w:rPr>
        <w:t>Bontempi,</w:t>
      </w:r>
      <w:r>
        <w:rPr>
          <w:spacing w:val="40"/>
          <w:sz w:val="16"/>
        </w:rPr>
        <w:t> </w:t>
      </w:r>
      <w:r>
        <w:rPr>
          <w:sz w:val="16"/>
        </w:rPr>
        <w:t>“Credit</w:t>
      </w:r>
      <w:r>
        <w:rPr>
          <w:spacing w:val="-10"/>
          <w:sz w:val="16"/>
        </w:rPr>
        <w:t> </w:t>
      </w:r>
      <w:r>
        <w:rPr>
          <w:sz w:val="16"/>
        </w:rPr>
        <w:t>Card</w:t>
      </w:r>
      <w:r>
        <w:rPr>
          <w:spacing w:val="-10"/>
          <w:sz w:val="16"/>
        </w:rPr>
        <w:t> </w:t>
      </w:r>
      <w:r>
        <w:rPr>
          <w:sz w:val="16"/>
        </w:rPr>
        <w:t>Fraud</w:t>
      </w:r>
      <w:r>
        <w:rPr>
          <w:spacing w:val="-10"/>
          <w:sz w:val="16"/>
        </w:rPr>
        <w:t> </w:t>
      </w:r>
      <w:r>
        <w:rPr>
          <w:sz w:val="16"/>
        </w:rPr>
        <w:t>Detection: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-10"/>
          <w:sz w:val="16"/>
        </w:rPr>
        <w:t> </w:t>
      </w:r>
      <w:r>
        <w:rPr>
          <w:sz w:val="16"/>
        </w:rPr>
        <w:t>Realistic</w:t>
      </w:r>
      <w:r>
        <w:rPr>
          <w:spacing w:val="-10"/>
          <w:sz w:val="16"/>
        </w:rPr>
        <w:t> </w:t>
      </w:r>
      <w:r>
        <w:rPr>
          <w:sz w:val="16"/>
        </w:rPr>
        <w:t>Modeling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-10"/>
          <w:sz w:val="16"/>
        </w:rPr>
        <w:t> </w:t>
      </w:r>
      <w:r>
        <w:rPr>
          <w:sz w:val="16"/>
        </w:rPr>
        <w:t>Novel</w:t>
      </w:r>
      <w:r>
        <w:rPr>
          <w:spacing w:val="-10"/>
          <w:sz w:val="16"/>
        </w:rPr>
        <w:t> </w:t>
      </w:r>
      <w:r>
        <w:rPr>
          <w:sz w:val="16"/>
        </w:rPr>
        <w:t>Learning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Strategy,”</w:t>
      </w:r>
      <w:r>
        <w:rPr>
          <w:spacing w:val="4"/>
          <w:sz w:val="16"/>
        </w:rPr>
        <w:t> </w:t>
      </w:r>
      <w:r>
        <w:rPr>
          <w:i/>
          <w:spacing w:val="-2"/>
          <w:sz w:val="16"/>
        </w:rPr>
        <w:t>IEEE</w:t>
      </w:r>
      <w:r>
        <w:rPr>
          <w:i/>
          <w:spacing w:val="5"/>
          <w:sz w:val="16"/>
        </w:rPr>
        <w:t> </w:t>
      </w:r>
      <w:r>
        <w:rPr>
          <w:i/>
          <w:spacing w:val="-2"/>
          <w:sz w:val="16"/>
        </w:rPr>
        <w:t>Transactions</w:t>
      </w:r>
      <w:r>
        <w:rPr>
          <w:i/>
          <w:spacing w:val="4"/>
          <w:sz w:val="16"/>
        </w:rPr>
        <w:t> </w:t>
      </w:r>
      <w:r>
        <w:rPr>
          <w:i/>
          <w:spacing w:val="-2"/>
          <w:sz w:val="16"/>
        </w:rPr>
        <w:t>on</w:t>
      </w:r>
      <w:r>
        <w:rPr>
          <w:i/>
          <w:spacing w:val="5"/>
          <w:sz w:val="16"/>
        </w:rPr>
        <w:t> </w:t>
      </w:r>
      <w:r>
        <w:rPr>
          <w:i/>
          <w:spacing w:val="-2"/>
          <w:sz w:val="16"/>
        </w:rPr>
        <w:t>Neural</w:t>
      </w:r>
      <w:r>
        <w:rPr>
          <w:i/>
          <w:spacing w:val="5"/>
          <w:sz w:val="16"/>
        </w:rPr>
        <w:t> </w:t>
      </w:r>
      <w:r>
        <w:rPr>
          <w:i/>
          <w:spacing w:val="-2"/>
          <w:sz w:val="16"/>
        </w:rPr>
        <w:t>Networks</w:t>
      </w:r>
      <w:r>
        <w:rPr>
          <w:i/>
          <w:spacing w:val="4"/>
          <w:sz w:val="16"/>
        </w:rPr>
        <w:t> </w:t>
      </w:r>
      <w:r>
        <w:rPr>
          <w:i/>
          <w:spacing w:val="-2"/>
          <w:sz w:val="16"/>
        </w:rPr>
        <w:t>and</w:t>
      </w:r>
      <w:r>
        <w:rPr>
          <w:i/>
          <w:spacing w:val="5"/>
          <w:sz w:val="16"/>
        </w:rPr>
        <w:t> </w:t>
      </w:r>
      <w:r>
        <w:rPr>
          <w:i/>
          <w:spacing w:val="-2"/>
          <w:sz w:val="16"/>
        </w:rPr>
        <w:t>Learning</w:t>
      </w:r>
      <w:r>
        <w:rPr>
          <w:i/>
          <w:spacing w:val="5"/>
          <w:sz w:val="16"/>
        </w:rPr>
        <w:t> </w:t>
      </w:r>
      <w:r>
        <w:rPr>
          <w:i/>
          <w:spacing w:val="-2"/>
          <w:sz w:val="16"/>
        </w:rPr>
        <w:t>Systems</w:t>
      </w:r>
      <w:r>
        <w:rPr>
          <w:spacing w:val="-2"/>
          <w:sz w:val="16"/>
        </w:rPr>
        <w:t>,</w:t>
      </w:r>
    </w:p>
    <w:p>
      <w:pPr>
        <w:pStyle w:val="ListParagraph"/>
        <w:spacing w:after="0" w:line="180" w:lineRule="exact"/>
        <w:jc w:val="both"/>
        <w:rPr>
          <w:sz w:val="16"/>
        </w:rPr>
        <w:sectPr>
          <w:pgSz w:w="12240" w:h="15840"/>
          <w:pgMar w:top="920" w:bottom="280" w:left="720" w:right="720"/>
          <w:cols w:num="2" w:equalWidth="0">
            <w:col w:w="5284" w:space="40"/>
            <w:col w:w="5476"/>
          </w:cols>
        </w:sectPr>
      </w:pPr>
    </w:p>
    <w:p>
      <w:pPr>
        <w:pStyle w:val="BodyText"/>
        <w:spacing w:line="138" w:lineRule="exact"/>
        <w:ind w:left="1550"/>
        <w:jc w:val="center"/>
        <w:rPr>
          <w:rFonts w:ascii="Calibri"/>
        </w:rPr>
      </w:pPr>
      <w:r>
        <w:rPr>
          <w:rFonts w:ascii="Calibri"/>
          <w:spacing w:val="-10"/>
        </w:rPr>
        <w:t>1</w:t>
      </w:r>
    </w:p>
    <w:p>
      <w:pPr>
        <w:spacing w:line="121" w:lineRule="exact" w:before="0"/>
        <w:ind w:left="835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1441843</wp:posOffset>
                </wp:positionH>
                <wp:positionV relativeFrom="paragraph">
                  <wp:posOffset>54571</wp:posOffset>
                </wp:positionV>
                <wp:extent cx="20383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03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0">
                              <a:moveTo>
                                <a:pt x="0" y="0"/>
                              </a:moveTo>
                              <a:lnTo>
                                <a:pt x="20370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113.530998pt,4.296974pt" to="129.570998pt,4.29697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20"/>
          <w:sz w:val="20"/>
        </w:rPr>
        <w:t>A</w:t>
      </w:r>
      <w:r>
        <w:rPr>
          <w:rFonts w:ascii="Calibri"/>
          <w:w w:val="120"/>
          <w:sz w:val="20"/>
        </w:rPr>
        <w:t>(</w:t>
      </w:r>
      <w:r>
        <w:rPr>
          <w:rFonts w:ascii="Bookman Old Style"/>
          <w:b/>
          <w:w w:val="120"/>
          <w:sz w:val="20"/>
        </w:rPr>
        <w:t>x</w:t>
      </w:r>
      <w:r>
        <w:rPr>
          <w:rFonts w:ascii="Calibri"/>
          <w:w w:val="120"/>
          <w:sz w:val="20"/>
        </w:rPr>
        <w:t>)</w:t>
      </w:r>
      <w:r>
        <w:rPr>
          <w:rFonts w:ascii="Calibri"/>
          <w:spacing w:val="-5"/>
          <w:w w:val="120"/>
          <w:sz w:val="20"/>
        </w:rPr>
        <w:t> </w:t>
      </w:r>
      <w:r>
        <w:rPr>
          <w:rFonts w:ascii="Calibri"/>
          <w:spacing w:val="-10"/>
          <w:w w:val="135"/>
          <w:sz w:val="20"/>
        </w:rPr>
        <w:t>=</w:t>
      </w:r>
    </w:p>
    <w:p>
      <w:pPr>
        <w:spacing w:line="239" w:lineRule="exact" w:before="0"/>
        <w:ind w:left="1550" w:right="0" w:firstLine="0"/>
        <w:jc w:val="center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15296">
                <wp:simplePos x="0" y="0"/>
                <wp:positionH relativeFrom="page">
                  <wp:posOffset>1543608</wp:posOffset>
                </wp:positionH>
                <wp:positionV relativeFrom="paragraph">
                  <wp:posOffset>60741</wp:posOffset>
                </wp:positionV>
                <wp:extent cx="60960" cy="889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09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" w:lineRule="exact" w:before="0"/>
                              <w:ind w:left="0" w:right="0" w:firstLine="0"/>
                              <w:jc w:val="left"/>
                              <w:rPr>
                                <w:rFonts w:ascii="Segoe UI Symbol"/>
                                <w:sz w:val="14"/>
                              </w:rPr>
                            </w:pPr>
                            <w:r>
                              <w:rPr>
                                <w:rFonts w:ascii="Segoe UI Symbol"/>
                                <w:spacing w:val="-10"/>
                                <w:w w:val="145"/>
                                <w:sz w:val="1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543999pt;margin-top:4.782807pt;width:4.8pt;height:7pt;mso-position-horizontal-relative:page;mso-position-vertical-relative:paragraph;z-index:-15901184" type="#_x0000_t202" id="docshape5" filled="false" stroked="false">
                <v:textbox inset="0,0,0,0">
                  <w:txbxContent>
                    <w:p>
                      <w:pPr>
                        <w:spacing w:line="140" w:lineRule="exact" w:before="0"/>
                        <w:ind w:left="0" w:right="0" w:firstLine="0"/>
                        <w:jc w:val="left"/>
                        <w:rPr>
                          <w:rFonts w:ascii="Segoe UI Symbol"/>
                          <w:sz w:val="14"/>
                        </w:rPr>
                      </w:pPr>
                      <w:r>
                        <w:rPr>
                          <w:rFonts w:ascii="Segoe UI Symbol"/>
                          <w:spacing w:val="-10"/>
                          <w:w w:val="145"/>
                          <w:sz w:val="1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85"/>
          <w:sz w:val="20"/>
        </w:rPr>
        <w:t>|C</w:t>
      </w:r>
      <w:r>
        <w:rPr>
          <w:rFonts w:ascii="Cambria" w:hAnsi="Cambria"/>
          <w:w w:val="85"/>
          <w:position w:val="6"/>
          <w:sz w:val="14"/>
        </w:rPr>
        <w:t>′</w:t>
      </w:r>
      <w:r>
        <w:rPr>
          <w:rFonts w:ascii="Cambria" w:hAnsi="Cambria"/>
          <w:spacing w:val="20"/>
          <w:position w:val="6"/>
          <w:sz w:val="14"/>
        </w:rPr>
        <w:t> </w:t>
      </w:r>
      <w:r>
        <w:rPr>
          <w:rFonts w:ascii="Lucida Sans Unicode" w:hAnsi="Lucida Sans Unicode"/>
          <w:spacing w:val="-24"/>
          <w:w w:val="95"/>
          <w:sz w:val="20"/>
        </w:rPr>
        <w:t>|</w:t>
      </w:r>
    </w:p>
    <w:p>
      <w:pPr>
        <w:tabs>
          <w:tab w:pos="3150" w:val="left" w:leader="none"/>
        </w:tabs>
        <w:spacing w:line="240" w:lineRule="auto" w:before="0"/>
        <w:ind w:left="52" w:right="0" w:firstLine="0"/>
        <w:jc w:val="left"/>
        <w:rPr>
          <w:sz w:val="20"/>
          <w:szCs w:val="20"/>
        </w:rPr>
      </w:pPr>
      <w:r>
        <w:rPr/>
        <w:br w:type="column"/>
      </w:r>
      <w:r>
        <w:rPr>
          <w:rFonts w:ascii="Arial" w:hAnsi="Arial" w:cs="Arial" w:eastAsia="Arial"/>
          <w:w w:val="110"/>
          <w:position w:val="19"/>
          <w:sz w:val="20"/>
          <w:szCs w:val="20"/>
        </w:rPr>
        <w:t>∑︂</w:t>
      </w:r>
      <w:r>
        <w:rPr>
          <w:rFonts w:ascii="Arial" w:hAnsi="Arial" w:cs="Arial" w:eastAsia="Arial"/>
          <w:spacing w:val="15"/>
          <w:w w:val="110"/>
          <w:position w:val="19"/>
          <w:sz w:val="20"/>
          <w:szCs w:val="20"/>
        </w:rPr>
        <w:t> </w:t>
      </w:r>
      <w:r>
        <w:rPr>
          <w:rFonts w:ascii="Georgia" w:hAnsi="Georgia" w:cs="Georgia" w:eastAsia="Georgia"/>
          <w:w w:val="110"/>
          <w:sz w:val="20"/>
          <w:szCs w:val="20"/>
        </w:rPr>
        <w:t>I</w:t>
      </w:r>
      <w:r>
        <w:rPr>
          <w:rFonts w:ascii="Calibri" w:hAnsi="Calibri" w:cs="Calibri" w:eastAsia="Calibri"/>
          <w:w w:val="110"/>
          <w:sz w:val="20"/>
          <w:szCs w:val="20"/>
        </w:rPr>
        <w:t>[sgn(</w:t>
      </w:r>
      <w:r>
        <w:rPr>
          <w:rFonts w:ascii="Calibri" w:hAnsi="Calibri" w:cs="Calibri" w:eastAsia="Calibri"/>
          <w:i/>
          <w:iCs/>
          <w:w w:val="110"/>
          <w:sz w:val="20"/>
          <w:szCs w:val="20"/>
        </w:rPr>
        <w:t>ϕ</w:t>
      </w:r>
      <w:r>
        <w:rPr>
          <w:rFonts w:ascii="Calibri" w:hAnsi="Calibri" w:cs="Calibri" w:eastAsia="Calibri"/>
          <w:i/>
          <w:iCs/>
          <w:w w:val="110"/>
          <w:sz w:val="20"/>
          <w:szCs w:val="20"/>
          <w:vertAlign w:val="subscript"/>
        </w:rPr>
        <w:t>j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(</w:t>
      </w:r>
      <w:r>
        <w:rPr>
          <w:rFonts w:ascii="Bookman Old Style" w:hAnsi="Bookman Old Style" w:cs="Bookman Old Style" w:eastAsia="Bookman Old Style"/>
          <w:b/>
          <w:bCs/>
          <w:w w:val="110"/>
          <w:sz w:val="20"/>
          <w:szCs w:val="20"/>
          <w:vertAlign w:val="baseline"/>
        </w:rPr>
        <w:t>x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))</w:t>
      </w:r>
      <w:r>
        <w:rPr>
          <w:rFonts w:ascii="Calibri" w:hAnsi="Calibri" w:cs="Calibri" w:eastAsia="Calibri"/>
          <w:spacing w:val="12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13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sgn(</w:t>
      </w:r>
      <w:r>
        <w:rPr>
          <w:rFonts w:ascii="Calibri" w:hAnsi="Calibri" w:cs="Calibri" w:eastAsia="Calibri"/>
          <w:i/>
          <w:iCs/>
          <w:w w:val="110"/>
          <w:sz w:val="20"/>
          <w:szCs w:val="20"/>
          <w:vertAlign w:val="baseline"/>
        </w:rPr>
        <w:t>λ</w:t>
      </w:r>
      <w:r>
        <w:rPr>
          <w:rFonts w:ascii="Calibri" w:hAnsi="Calibri" w:cs="Calibri" w:eastAsia="Calibri"/>
          <w:i/>
          <w:iCs/>
          <w:w w:val="110"/>
          <w:sz w:val="20"/>
          <w:szCs w:val="20"/>
          <w:vertAlign w:val="subscript"/>
        </w:rPr>
        <w:t>j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(</w:t>
      </w:r>
      <w:r>
        <w:rPr>
          <w:rFonts w:ascii="Bookman Old Style" w:hAnsi="Bookman Old Style" w:cs="Bookman Old Style" w:eastAsia="Bookman Old Style"/>
          <w:b/>
          <w:bCs/>
          <w:w w:val="110"/>
          <w:sz w:val="20"/>
          <w:szCs w:val="20"/>
          <w:vertAlign w:val="baseline"/>
        </w:rPr>
        <w:t>x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))]</w:t>
      </w:r>
      <w:r>
        <w:rPr>
          <w:rFonts w:ascii="Calibri" w:hAnsi="Calibri" w:cs="Calibri" w:eastAsia="Calibri"/>
          <w:spacing w:val="-13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w w:val="110"/>
          <w:sz w:val="20"/>
          <w:szCs w:val="20"/>
          <w:vertAlign w:val="baseline"/>
        </w:rPr>
        <w:t>,</w:t>
      </w:r>
      <w:r>
        <w:rPr>
          <w:rFonts w:ascii="Calibri" w:hAnsi="Calibri" w:cs="Calibri" w:eastAsia="Calibri"/>
          <w:i/>
          <w:iCs/>
          <w:sz w:val="20"/>
          <w:szCs w:val="20"/>
          <w:vertAlign w:val="baseline"/>
        </w:rPr>
        <w:tab/>
      </w:r>
      <w:r>
        <w:rPr>
          <w:spacing w:val="-9"/>
          <w:w w:val="105"/>
          <w:sz w:val="20"/>
          <w:szCs w:val="20"/>
          <w:vertAlign w:val="baseline"/>
        </w:rPr>
        <w:t>(2)</w:t>
      </w:r>
    </w:p>
    <w:p>
      <w:pPr>
        <w:spacing w:before="0"/>
        <w:ind w:left="17" w:right="0" w:firstLine="0"/>
        <w:jc w:val="left"/>
        <w:rPr>
          <w:rFonts w:ascii="Arial" w:hAnsi="Arial"/>
          <w:i/>
          <w:position w:val="4"/>
          <w:sz w:val="10"/>
        </w:rPr>
      </w:pPr>
      <w:r>
        <w:rPr>
          <w:rFonts w:ascii="Arial" w:hAnsi="Arial"/>
          <w:i/>
          <w:position w:val="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415808">
                <wp:simplePos x="0" y="0"/>
                <wp:positionH relativeFrom="page">
                  <wp:posOffset>1851926</wp:posOffset>
                </wp:positionH>
                <wp:positionV relativeFrom="paragraph">
                  <wp:posOffset>28383</wp:posOffset>
                </wp:positionV>
                <wp:extent cx="50800" cy="641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080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w w:val="115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820999pt;margin-top:2.234895pt;width:4pt;height:5.05pt;mso-position-horizontal-relative:page;mso-position-vertical-relative:paragraph;z-index:-15900672" type="#_x0000_t202" id="docshape6" filled="false" stroked="false">
                <v:textbox inset="0,0,0,0">
                  <w:txbxContent>
                    <w:p>
                      <w:pPr>
                        <w:spacing w:line="96" w:lineRule="exact" w:before="0"/>
                        <w:ind w:left="0" w:right="0" w:firstLine="0"/>
                        <w:jc w:val="left"/>
                        <w:rPr>
                          <w:rFonts w:ascii="Verdana"/>
                          <w:b/>
                          <w:sz w:val="10"/>
                        </w:rPr>
                      </w:pPr>
                      <w:r>
                        <w:rPr>
                          <w:rFonts w:ascii="Verdana"/>
                          <w:b/>
                          <w:spacing w:val="-10"/>
                          <w:w w:val="115"/>
                          <w:sz w:val="10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4"/>
          <w:w w:val="165"/>
          <w:sz w:val="14"/>
        </w:rPr>
        <w:t>j</w:t>
      </w:r>
      <w:r>
        <w:rPr>
          <w:rFonts w:ascii="Cambria" w:hAnsi="Cambria"/>
          <w:spacing w:val="-4"/>
          <w:w w:val="165"/>
          <w:sz w:val="14"/>
        </w:rPr>
        <w:t>∈C</w:t>
      </w:r>
      <w:r>
        <w:rPr>
          <w:rFonts w:ascii="Arial" w:hAnsi="Arial"/>
          <w:i/>
          <w:spacing w:val="-4"/>
          <w:w w:val="165"/>
          <w:position w:val="4"/>
          <w:sz w:val="10"/>
        </w:rPr>
        <w:t>′</w:t>
      </w:r>
    </w:p>
    <w:p>
      <w:pPr>
        <w:spacing w:line="178" w:lineRule="exact" w:before="0"/>
        <w:ind w:left="546" w:right="0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vol.</w:t>
      </w:r>
      <w:r>
        <w:rPr>
          <w:spacing w:val="11"/>
          <w:sz w:val="16"/>
        </w:rPr>
        <w:t> </w:t>
      </w:r>
      <w:r>
        <w:rPr>
          <w:sz w:val="16"/>
        </w:rPr>
        <w:t>29,</w:t>
      </w:r>
      <w:r>
        <w:rPr>
          <w:spacing w:val="11"/>
          <w:sz w:val="16"/>
        </w:rPr>
        <w:t> </w:t>
      </w:r>
      <w:r>
        <w:rPr>
          <w:sz w:val="16"/>
        </w:rPr>
        <w:t>no.</w:t>
      </w:r>
      <w:r>
        <w:rPr>
          <w:spacing w:val="12"/>
          <w:sz w:val="16"/>
        </w:rPr>
        <w:t> </w:t>
      </w:r>
      <w:r>
        <w:rPr>
          <w:sz w:val="16"/>
        </w:rPr>
        <w:t>8,</w:t>
      </w:r>
      <w:r>
        <w:rPr>
          <w:spacing w:val="11"/>
          <w:sz w:val="16"/>
        </w:rPr>
        <w:t> </w:t>
      </w:r>
      <w:r>
        <w:rPr>
          <w:sz w:val="16"/>
        </w:rPr>
        <w:t>pp.</w:t>
      </w:r>
      <w:r>
        <w:rPr>
          <w:spacing w:val="12"/>
          <w:sz w:val="16"/>
        </w:rPr>
        <w:t> </w:t>
      </w:r>
      <w:r>
        <w:rPr>
          <w:sz w:val="16"/>
        </w:rPr>
        <w:t>3784–3797,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2018.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  <w:tab w:pos="548" w:val="left" w:leader="none"/>
        </w:tabs>
        <w:spacing w:line="232" w:lineRule="auto" w:before="0" w:after="0"/>
        <w:ind w:left="545" w:right="257" w:hanging="281"/>
        <w:jc w:val="both"/>
        <w:rPr>
          <w:i/>
          <w:sz w:val="16"/>
        </w:rPr>
      </w:pPr>
      <w:r>
        <w:rPr>
          <w:sz w:val="16"/>
        </w:rPr>
        <w:t>A.</w:t>
      </w:r>
      <w:r>
        <w:rPr>
          <w:spacing w:val="-10"/>
          <w:sz w:val="16"/>
        </w:rPr>
        <w:t> </w:t>
      </w:r>
      <w:r>
        <w:rPr>
          <w:sz w:val="16"/>
        </w:rPr>
        <w:t>Dal</w:t>
      </w:r>
      <w:r>
        <w:rPr>
          <w:spacing w:val="-10"/>
          <w:sz w:val="16"/>
        </w:rPr>
        <w:t> </w:t>
      </w:r>
      <w:r>
        <w:rPr>
          <w:sz w:val="16"/>
        </w:rPr>
        <w:t>Pozzolo,</w:t>
      </w:r>
      <w:r>
        <w:rPr>
          <w:spacing w:val="-10"/>
          <w:sz w:val="16"/>
        </w:rPr>
        <w:t> </w:t>
      </w:r>
      <w:r>
        <w:rPr>
          <w:sz w:val="16"/>
        </w:rPr>
        <w:t>O.</w:t>
      </w:r>
      <w:r>
        <w:rPr>
          <w:spacing w:val="-10"/>
          <w:sz w:val="16"/>
        </w:rPr>
        <w:t> </w:t>
      </w:r>
      <w:r>
        <w:rPr>
          <w:sz w:val="16"/>
        </w:rPr>
        <w:t>Caelen,</w:t>
      </w:r>
      <w:r>
        <w:rPr>
          <w:spacing w:val="-10"/>
          <w:sz w:val="16"/>
        </w:rPr>
        <w:t> </w:t>
      </w:r>
      <w:r>
        <w:rPr>
          <w:sz w:val="16"/>
        </w:rPr>
        <w:t>R.</w:t>
      </w:r>
      <w:r>
        <w:rPr>
          <w:spacing w:val="-10"/>
          <w:sz w:val="16"/>
        </w:rPr>
        <w:t> </w:t>
      </w:r>
      <w:r>
        <w:rPr>
          <w:sz w:val="16"/>
        </w:rPr>
        <w:t>A.</w:t>
      </w:r>
      <w:r>
        <w:rPr>
          <w:spacing w:val="-10"/>
          <w:sz w:val="16"/>
        </w:rPr>
        <w:t> </w:t>
      </w:r>
      <w:r>
        <w:rPr>
          <w:sz w:val="16"/>
        </w:rPr>
        <w:t>Johnson,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G.</w:t>
      </w:r>
      <w:r>
        <w:rPr>
          <w:spacing w:val="-10"/>
          <w:sz w:val="16"/>
        </w:rPr>
        <w:t> </w:t>
      </w:r>
      <w:r>
        <w:rPr>
          <w:sz w:val="16"/>
        </w:rPr>
        <w:t>Bontempi,</w:t>
      </w:r>
      <w:r>
        <w:rPr>
          <w:spacing w:val="-10"/>
          <w:sz w:val="16"/>
        </w:rPr>
        <w:t> </w:t>
      </w:r>
      <w:r>
        <w:rPr>
          <w:sz w:val="16"/>
        </w:rPr>
        <w:t>“Calibrating</w:t>
      </w:r>
      <w:r>
        <w:rPr>
          <w:spacing w:val="40"/>
          <w:sz w:val="16"/>
        </w:rPr>
        <w:t> </w:t>
      </w:r>
      <w:r>
        <w:rPr>
          <w:sz w:val="16"/>
        </w:rPr>
        <w:t>Probability with Undersampling for Unbalanced Classification,” in</w:t>
      </w:r>
      <w:r>
        <w:rPr>
          <w:spacing w:val="40"/>
          <w:sz w:val="16"/>
        </w:rPr>
        <w:t> </w:t>
      </w:r>
      <w:r>
        <w:rPr>
          <w:i/>
          <w:spacing w:val="-2"/>
          <w:sz w:val="16"/>
        </w:rPr>
        <w:t>Proceedings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of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the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IEEE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Symposium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Series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on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Computational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Intelligence</w:t>
      </w:r>
    </w:p>
    <w:p>
      <w:pPr>
        <w:pStyle w:val="ListParagraph"/>
        <w:spacing w:after="0" w:line="232" w:lineRule="auto"/>
        <w:jc w:val="both"/>
        <w:rPr>
          <w:i/>
          <w:sz w:val="16"/>
        </w:rPr>
        <w:sectPr>
          <w:type w:val="continuous"/>
          <w:pgSz w:w="12240" w:h="15840"/>
          <w:pgMar w:top="900" w:bottom="280" w:left="720" w:right="720"/>
          <w:cols w:num="3" w:equalWidth="0">
            <w:col w:w="1872" w:space="40"/>
            <w:col w:w="3383" w:space="39"/>
            <w:col w:w="5466"/>
          </w:cols>
        </w:sectPr>
      </w:pPr>
    </w:p>
    <w:p>
      <w:pPr>
        <w:pStyle w:val="BodyText"/>
        <w:spacing w:line="215" w:lineRule="exact"/>
        <w:ind w:left="252"/>
      </w:pPr>
      <w:r>
        <w:rPr/>
        <w:t>where</w:t>
      </w:r>
      <w:r>
        <w:rPr>
          <w:spacing w:val="-4"/>
        </w:rPr>
        <w:t> </w:t>
      </w:r>
      <w:r>
        <w:rPr>
          <w:rFonts w:ascii="Calibri" w:hAnsi="Calibri" w:cs="Calibri" w:eastAsia="Calibri"/>
          <w:i/>
          <w:iCs/>
        </w:rPr>
        <w:t>ϕ</w:t>
      </w:r>
      <w:r>
        <w:rPr>
          <w:rFonts w:ascii="Calibri" w:hAnsi="Calibri" w:cs="Calibri" w:eastAsia="Calibri"/>
          <w:i/>
          <w:iCs/>
          <w:vertAlign w:val="subscript"/>
        </w:rPr>
        <w:t>j</w:t>
      </w:r>
      <w:r>
        <w:rPr>
          <w:rFonts w:ascii="Calibri" w:hAnsi="Calibri" w:cs="Calibri" w:eastAsia="Calibri"/>
          <w:i/>
          <w:iCs/>
          <w:spacing w:val="18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rFonts w:ascii="Calibri" w:hAnsi="Calibri" w:cs="Calibri" w:eastAsia="Calibri"/>
          <w:i/>
          <w:iCs/>
          <w:vertAlign w:val="baseline"/>
        </w:rPr>
        <w:t>λ</w:t>
      </w:r>
      <w:r>
        <w:rPr>
          <w:rFonts w:ascii="Calibri" w:hAnsi="Calibri" w:cs="Calibri" w:eastAsia="Calibri"/>
          <w:i/>
          <w:iCs/>
          <w:vertAlign w:val="subscript"/>
        </w:rPr>
        <w:t>j</w:t>
      </w:r>
      <w:r>
        <w:rPr>
          <w:rFonts w:ascii="Calibri" w:hAnsi="Calibri" w:cs="Calibri" w:eastAsia="Calibri"/>
          <w:i/>
          <w:iCs/>
          <w:spacing w:val="18"/>
          <w:vertAlign w:val="baseline"/>
        </w:rPr>
        <w:t> </w:t>
      </w:r>
      <w:r>
        <w:rPr>
          <w:vertAlign w:val="baseline"/>
        </w:rPr>
        <w:t>are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SHAP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LIME</w:t>
      </w:r>
      <w:r>
        <w:rPr>
          <w:spacing w:val="-4"/>
          <w:vertAlign w:val="baseline"/>
        </w:rPr>
        <w:t> </w:t>
      </w:r>
      <w:r>
        <w:rPr>
          <w:vertAlign w:val="baseline"/>
        </w:rPr>
        <w:t>attributions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feature</w:t>
      </w:r>
    </w:p>
    <w:p>
      <w:pPr>
        <w:pStyle w:val="BodyText"/>
        <w:spacing w:line="208" w:lineRule="auto" w:before="11"/>
        <w:ind w:left="259"/>
      </w:pPr>
      <w:r>
        <w:rPr>
          <w:rFonts w:ascii="Calibri" w:hAnsi="Calibri"/>
          <w:i/>
          <w:w w:val="125"/>
        </w:rPr>
        <w:t>j</w:t>
      </w:r>
      <w:r>
        <w:rPr>
          <w:w w:val="125"/>
        </w:rPr>
        <w:t>.</w:t>
      </w:r>
      <w:r>
        <w:rPr>
          <w:w w:val="12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nonempty</w:t>
      </w:r>
      <w:r>
        <w:rPr>
          <w:spacing w:val="25"/>
          <w:w w:val="105"/>
        </w:rPr>
        <w:t> </w:t>
      </w:r>
      <w:r>
        <w:rPr>
          <w:w w:val="105"/>
        </w:rPr>
        <w:t>set,</w:t>
      </w:r>
      <w:r>
        <w:rPr>
          <w:spacing w:val="25"/>
          <w:w w:val="105"/>
        </w:rPr>
        <w:t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w w:val="105"/>
        </w:rPr>
        <w:t>(</w:t>
      </w:r>
      <w:r>
        <w:rPr>
          <w:rFonts w:ascii="Bookman Old Style" w:hAnsi="Bookman Old Style"/>
          <w:b/>
          <w:w w:val="105"/>
        </w:rPr>
        <w:t>x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23"/>
          <w:w w:val="105"/>
        </w:rPr>
        <w:t> </w:t>
      </w:r>
      <w:r>
        <w:rPr>
          <w:rFonts w:ascii="Lucida Sans Unicode" w:hAnsi="Lucida Sans Unicode"/>
          <w:w w:val="105"/>
        </w:rPr>
        <w:t>∈ </w:t>
      </w:r>
      <w:r>
        <w:rPr>
          <w:rFonts w:ascii="Calibri" w:hAnsi="Calibri"/>
          <w:w w:val="105"/>
        </w:rPr>
        <w:t>[0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5"/>
          <w:w w:val="105"/>
        </w:rPr>
        <w:t> </w:t>
      </w:r>
      <w:r>
        <w:rPr>
          <w:rFonts w:ascii="Calibri" w:hAnsi="Calibri"/>
          <w:w w:val="105"/>
        </w:rPr>
        <w:t>1]</w:t>
      </w:r>
      <w:r>
        <w:rPr>
          <w:w w:val="105"/>
        </w:rPr>
        <w:t>,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w w:val="105"/>
        </w:rPr>
        <w:t>(</w:t>
      </w:r>
      <w:r>
        <w:rPr>
          <w:rFonts w:ascii="Bookman Old Style" w:hAnsi="Bookman Old Style"/>
          <w:b/>
          <w:w w:val="105"/>
        </w:rPr>
        <w:t>x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w w:val="125"/>
        </w:rPr>
        <w:t> 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spacing w:val="30"/>
          <w:w w:val="105"/>
        </w:rPr>
        <w:t> </w:t>
      </w:r>
      <w:r>
        <w:rPr>
          <w:w w:val="105"/>
        </w:rPr>
        <w:t>means </w:t>
      </w:r>
      <w:r>
        <w:rPr>
          <w:spacing w:val="-2"/>
          <w:w w:val="105"/>
        </w:rPr>
        <w:t>every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shared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feature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has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matching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signs;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no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overlap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line="249" w:lineRule="auto" w:before="15"/>
        <w:ind w:left="259"/>
      </w:pPr>
      <w:r>
        <w:rPr/>
        <w:t>score is undefined. It measures direction only, not </w:t>
      </w:r>
      <w:r>
        <w:rPr/>
        <w:t>magnitude, causality, or correctness.</w:t>
      </w:r>
    </w:p>
    <w:p>
      <w:pPr>
        <w:pStyle w:val="BodyText"/>
        <w:spacing w:line="244" w:lineRule="auto" w:before="11"/>
        <w:ind w:left="259" w:right="7" w:firstLine="199"/>
        <w:jc w:val="both"/>
      </w:pPr>
      <w:r>
        <w:rPr/>
        <w:t>In</w:t>
      </w:r>
      <w:r>
        <w:rPr>
          <w:spacing w:val="-7"/>
        </w:rPr>
        <w:t> </w:t>
      </w:r>
      <w:r>
        <w:rPr/>
        <w:t>row</w:t>
      </w:r>
      <w:r>
        <w:rPr>
          <w:spacing w:val="-7"/>
        </w:rPr>
        <w:t> </w:t>
      </w:r>
      <w:r>
        <w:rPr/>
        <w:t>12507,</w:t>
      </w:r>
      <w:r>
        <w:rPr>
          <w:spacing w:val="-7"/>
        </w:rPr>
        <w:t> </w:t>
      </w:r>
      <w:r>
        <w:rPr/>
        <w:t>Amount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reported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both</w:t>
      </w:r>
      <w:r>
        <w:rPr>
          <w:spacing w:val="-7"/>
        </w:rPr>
        <w:t> </w:t>
      </w:r>
      <w:r>
        <w:rPr/>
        <w:t>SHAP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LIME, </w:t>
      </w:r>
      <w:r>
        <w:rPr>
          <w:rFonts w:ascii="Calibri"/>
          <w:i/>
        </w:rPr>
        <w:t>V</w:t>
      </w:r>
      <w:r>
        <w:rPr>
          <w:rFonts w:ascii="Calibri"/>
          <w:vertAlign w:val="subscript"/>
        </w:rPr>
        <w:t>13</w:t>
      </w:r>
      <w:r>
        <w:rPr>
          <w:vertAlign w:val="baseline"/>
        </w:rPr>
        <w:t>. and </w:t>
      </w:r>
      <w:r>
        <w:rPr>
          <w:rFonts w:ascii="Calibri"/>
          <w:i/>
          <w:vertAlign w:val="baseline"/>
        </w:rPr>
        <w:t>V</w:t>
      </w:r>
      <w:r>
        <w:rPr>
          <w:rFonts w:ascii="Calibri"/>
          <w:vertAlign w:val="subscript"/>
        </w:rPr>
        <w:t>12</w:t>
      </w:r>
      <w:r>
        <w:rPr>
          <w:vertAlign w:val="baseline"/>
        </w:rPr>
        <w:t>, assigning each the same sign (Table II), thus </w:t>
      </w:r>
      <w:r>
        <w:rPr>
          <w:rFonts w:ascii="Calibri"/>
          <w:i/>
          <w:vertAlign w:val="baseline"/>
        </w:rPr>
        <w:t>A</w:t>
      </w:r>
      <w:r>
        <w:rPr>
          <w:rFonts w:ascii="Calibri"/>
          <w:vertAlign w:val="baseline"/>
        </w:rPr>
        <w:t>(</w:t>
      </w:r>
      <w:r>
        <w:rPr>
          <w:rFonts w:ascii="Bookman Old Style"/>
          <w:b/>
          <w:vertAlign w:val="baseline"/>
        </w:rPr>
        <w:t>x</w:t>
      </w:r>
      <w:r>
        <w:rPr>
          <w:rFonts w:ascii="Calibri"/>
          <w:vertAlign w:val="subscript"/>
        </w:rPr>
        <w:t>12507</w:t>
      </w:r>
      <w:r>
        <w:rPr>
          <w:rFonts w:ascii="Calibri"/>
          <w:vertAlign w:val="baseline"/>
        </w:rPr>
        <w:t>)</w:t>
      </w:r>
      <w:r>
        <w:rPr>
          <w:rFonts w:ascii="Calibri"/>
          <w:w w:val="125"/>
          <w:vertAlign w:val="baseline"/>
        </w:rPr>
        <w:t> =</w:t>
      </w:r>
      <w:r>
        <w:rPr>
          <w:rFonts w:ascii="Calibri"/>
          <w:w w:val="125"/>
          <w:vertAlign w:val="baseline"/>
        </w:rPr>
        <w:t> </w:t>
      </w:r>
      <w:r>
        <w:rPr>
          <w:rFonts w:ascii="Calibri"/>
          <w:vertAlign w:val="baseline"/>
        </w:rPr>
        <w:t>1</w:t>
      </w:r>
      <w:r>
        <w:rPr>
          <w:vertAlign w:val="baseline"/>
        </w:rPr>
        <w:t>. This does not mention characteristics that</w:t>
      </w:r>
      <w:r>
        <w:rPr>
          <w:spacing w:val="40"/>
          <w:vertAlign w:val="baseline"/>
        </w:rPr>
        <w:t> </w:t>
      </w:r>
      <w:r>
        <w:rPr>
          <w:vertAlign w:val="baseline"/>
        </w:rPr>
        <w:t>pertain exclusively to a single method. reports, or regarding other transactions. </w:t>
      </w:r>
      <w:r>
        <w:rPr>
          <w:b/>
          <w:vertAlign w:val="baseline"/>
        </w:rPr>
        <w:t>Worldwide ranking. </w:t>
      </w:r>
      <w:r>
        <w:rPr>
          <w:vertAlign w:val="baseline"/>
        </w:rPr>
        <w:t>Average absolute SHAP values across 20 held-out transactions involve </w:t>
      </w:r>
      <w:r>
        <w:rPr>
          <w:rFonts w:ascii="Calibri"/>
          <w:i/>
          <w:vertAlign w:val="baseline"/>
        </w:rPr>
        <w:t>V</w:t>
      </w:r>
      <w:r>
        <w:rPr>
          <w:rFonts w:ascii="Calibri"/>
          <w:vertAlign w:val="subscript"/>
        </w:rPr>
        <w:t>4</w:t>
      </w:r>
      <w:r>
        <w:rPr>
          <w:vertAlign w:val="baseline"/>
        </w:rPr>
        <w:t>, </w:t>
      </w:r>
      <w:r>
        <w:rPr>
          <w:rFonts w:ascii="Calibri"/>
          <w:i/>
          <w:vertAlign w:val="baseline"/>
        </w:rPr>
        <w:t>V</w:t>
      </w:r>
      <w:r>
        <w:rPr>
          <w:rFonts w:ascii="Calibri"/>
          <w:vertAlign w:val="subscript"/>
        </w:rPr>
        <w:t>11</w:t>
      </w:r>
      <w:r>
        <w:rPr>
          <w:vertAlign w:val="baseline"/>
        </w:rPr>
        <w:t>, </w:t>
      </w:r>
      <w:r>
        <w:rPr>
          <w:rFonts w:ascii="Calibri"/>
          <w:i/>
          <w:vertAlign w:val="baseline"/>
        </w:rPr>
        <w:t>V</w:t>
      </w:r>
      <w:r>
        <w:rPr>
          <w:rFonts w:ascii="Calibri"/>
          <w:vertAlign w:val="subscript"/>
        </w:rPr>
        <w:t>14</w:t>
      </w:r>
      <w:r>
        <w:rPr>
          <w:vertAlign w:val="baseline"/>
        </w:rPr>
        <w:t>, and </w:t>
      </w:r>
      <w:r>
        <w:rPr>
          <w:rFonts w:ascii="Calibri"/>
          <w:i/>
          <w:vertAlign w:val="baseline"/>
        </w:rPr>
        <w:t>V</w:t>
      </w:r>
      <w:r>
        <w:rPr>
          <w:rFonts w:ascii="Calibri"/>
          <w:vertAlign w:val="subscript"/>
        </w:rPr>
        <w:t>12</w:t>
      </w:r>
      <w:r>
        <w:rPr>
          <w:rFonts w:ascii="Calibri"/>
          <w:vertAlign w:val="baseline"/>
        </w:rPr>
        <w:t> </w:t>
      </w:r>
      <w:r>
        <w:rPr>
          <w:vertAlign w:val="baseline"/>
        </w:rPr>
        <w:t>positioned at the top (Fig. 5). Since this measure ignores the sign, a feature can be ranked. greatly, even if its impact shifts direction between transactions, and a sample of 20 transactions is insufficient to create consistency throughout the populace.</w:t>
      </w:r>
    </w:p>
    <w:p>
      <w:pPr>
        <w:pStyle w:val="ListParagraph"/>
        <w:numPr>
          <w:ilvl w:val="0"/>
          <w:numId w:val="1"/>
        </w:numPr>
        <w:tabs>
          <w:tab w:pos="1613" w:val="left" w:leader="none"/>
        </w:tabs>
        <w:spacing w:line="240" w:lineRule="auto" w:before="218" w:after="0"/>
        <w:ind w:left="1613" w:right="0" w:hanging="367"/>
        <w:jc w:val="left"/>
        <w:rPr>
          <w:sz w:val="20"/>
        </w:rPr>
      </w:pPr>
      <w:r>
        <w:rPr>
          <w:smallCaps/>
          <w:sz w:val="20"/>
        </w:rPr>
        <w:t>Discussion</w:t>
      </w:r>
      <w:r>
        <w:rPr>
          <w:smallCaps/>
          <w:spacing w:val="61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2"/>
          <w:sz w:val="20"/>
        </w:rPr>
        <w:t> </w:t>
      </w:r>
      <w:r>
        <w:rPr>
          <w:smallCaps/>
          <w:spacing w:val="-2"/>
          <w:sz w:val="20"/>
        </w:rPr>
        <w:t>Limitations</w:t>
      </w:r>
    </w:p>
    <w:p>
      <w:pPr>
        <w:pStyle w:val="BodyText"/>
        <w:spacing w:line="249" w:lineRule="auto" w:before="136"/>
        <w:ind w:left="252" w:firstLine="206"/>
        <w:jc w:val="both"/>
      </w:pPr>
      <w:r>
        <w:rPr/>
        <w:t>TabNet works best when reducing alarms is very </w:t>
      </w:r>
      <w:r>
        <w:rPr/>
        <w:t>important. FT-Transformer works better when a strong fraud detection system is needed. Neither TabNet nor FT-Transformer is the winner until the costs are examined.</w:t>
      </w:r>
    </w:p>
    <w:p>
      <w:pPr>
        <w:pStyle w:val="BodyText"/>
        <w:spacing w:line="249" w:lineRule="auto" w:before="11"/>
        <w:ind w:left="259" w:right="25" w:firstLine="199"/>
        <w:jc w:val="both"/>
      </w:pPr>
      <w:r>
        <w:rPr/>
        <w:t>The study has limits because there were 36 test fraud cases the data were split at random and the SHAP and LIME explanations might not be reliable. Future studies should </w:t>
      </w:r>
      <w:r>
        <w:rPr/>
        <w:t>try </w:t>
      </w:r>
      <w:r>
        <w:rPr>
          <w:spacing w:val="-2"/>
        </w:rPr>
        <w:t>random</w:t>
      </w:r>
      <w:r>
        <w:rPr>
          <w:spacing w:val="-6"/>
        </w:rPr>
        <w:t> </w:t>
      </w:r>
      <w:r>
        <w:rPr>
          <w:spacing w:val="-2"/>
        </w:rPr>
        <w:t>seeds</w:t>
      </w:r>
      <w:r>
        <w:rPr>
          <w:spacing w:val="-6"/>
        </w:rPr>
        <w:t> </w:t>
      </w:r>
      <w:r>
        <w:rPr>
          <w:spacing w:val="-2"/>
        </w:rPr>
        <w:t>split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time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cost-sensitive</w:t>
      </w:r>
      <w:r>
        <w:rPr>
          <w:spacing w:val="-6"/>
        </w:rPr>
        <w:t> </w:t>
      </w:r>
      <w:r>
        <w:rPr>
          <w:spacing w:val="-2"/>
        </w:rPr>
        <w:t>thresholds and</w:t>
      </w:r>
      <w:r>
        <w:rPr>
          <w:spacing w:val="-4"/>
        </w:rPr>
        <w:t> </w:t>
      </w:r>
      <w:r>
        <w:rPr>
          <w:spacing w:val="-2"/>
        </w:rPr>
        <w:t>check</w:t>
      </w:r>
      <w:r>
        <w:rPr>
          <w:spacing w:val="-4"/>
        </w:rPr>
        <w:t> </w:t>
      </w:r>
      <w:r>
        <w:rPr>
          <w:spacing w:val="-2"/>
        </w:rPr>
        <w:t>if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explanations</w:t>
      </w:r>
      <w:r>
        <w:rPr>
          <w:spacing w:val="-4"/>
        </w:rPr>
        <w:t> </w:t>
      </w:r>
      <w:r>
        <w:rPr>
          <w:spacing w:val="-2"/>
        </w:rPr>
        <w:t>stay</w:t>
      </w:r>
      <w:r>
        <w:rPr>
          <w:spacing w:val="-4"/>
        </w:rPr>
        <w:t> </w:t>
      </w:r>
      <w:r>
        <w:rPr>
          <w:spacing w:val="-2"/>
        </w:rPr>
        <w:t>stable</w:t>
      </w:r>
      <w:r>
        <w:rPr>
          <w:spacing w:val="-4"/>
        </w:rPr>
        <w:t> </w:t>
      </w:r>
      <w:r>
        <w:rPr>
          <w:spacing w:val="-2"/>
        </w:rPr>
        <w:t>when</w:t>
      </w:r>
      <w:r>
        <w:rPr>
          <w:spacing w:val="-4"/>
        </w:rPr>
        <w:t> </w:t>
      </w:r>
      <w:r>
        <w:rPr>
          <w:spacing w:val="-2"/>
        </w:rPr>
        <w:t>different</w:t>
      </w:r>
      <w:r>
        <w:rPr>
          <w:spacing w:val="-4"/>
        </w:rPr>
        <w:t> </w:t>
      </w:r>
      <w:r>
        <w:rPr>
          <w:spacing w:val="-2"/>
        </w:rPr>
        <w:t>samples </w:t>
      </w:r>
      <w:r>
        <w:rPr/>
        <w:t>are used. The agreement was tested on one transaction and three features, which shows that more validation is needed.</w:t>
      </w:r>
    </w:p>
    <w:p>
      <w:pPr>
        <w:spacing w:line="182" w:lineRule="exact" w:before="0"/>
        <w:ind w:left="518" w:right="0" w:firstLine="0"/>
        <w:jc w:val="both"/>
        <w:rPr>
          <w:sz w:val="16"/>
        </w:rPr>
      </w:pPr>
      <w:r>
        <w:rPr/>
        <w:br w:type="column"/>
      </w:r>
      <w:r>
        <w:rPr>
          <w:i/>
          <w:sz w:val="16"/>
        </w:rPr>
        <w:t>(SSCI)</w:t>
      </w:r>
      <w:r>
        <w:rPr>
          <w:sz w:val="16"/>
        </w:rPr>
        <w:t>,</w:t>
      </w:r>
      <w:r>
        <w:rPr>
          <w:spacing w:val="10"/>
          <w:sz w:val="16"/>
        </w:rPr>
        <w:t> </w:t>
      </w:r>
      <w:r>
        <w:rPr>
          <w:sz w:val="16"/>
        </w:rPr>
        <w:t>2015,</w:t>
      </w:r>
      <w:r>
        <w:rPr>
          <w:spacing w:val="11"/>
          <w:sz w:val="16"/>
        </w:rPr>
        <w:t> </w:t>
      </w: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z w:val="16"/>
        </w:rPr>
        <w:t>159–</w:t>
      </w:r>
      <w:r>
        <w:rPr>
          <w:spacing w:val="-4"/>
          <w:sz w:val="16"/>
        </w:rPr>
        <w:t>166.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229" w:hanging="286"/>
        <w:jc w:val="both"/>
        <w:rPr>
          <w:sz w:val="16"/>
        </w:rPr>
      </w:pPr>
      <w:r>
        <w:rPr>
          <w:sz w:val="16"/>
        </w:rPr>
        <w:t>Machine Learning Group, Universite´ Libre de Bruxelles, “Credit Card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Fraud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Detection,”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Kaggle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dataset.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[Online].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Available: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https://www.kaggle.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com/datasets/mlg-ulb/creditcardfraud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7" w:val="left" w:leader="none"/>
        </w:tabs>
        <w:spacing w:line="232" w:lineRule="auto" w:before="3" w:after="0"/>
        <w:ind w:left="517" w:right="229" w:hanging="274"/>
        <w:jc w:val="both"/>
        <w:rPr>
          <w:sz w:val="16"/>
        </w:rPr>
      </w:pPr>
      <w:r>
        <w:rPr>
          <w:sz w:val="16"/>
        </w:rPr>
        <w:t>H.</w:t>
      </w:r>
      <w:r>
        <w:rPr>
          <w:sz w:val="16"/>
        </w:rPr>
        <w:t> He and E. A. Garcia, “Learning from Imbalanced Data,”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Transactions on Knowledge and Data Engineering</w:t>
      </w:r>
      <w:r>
        <w:rPr>
          <w:sz w:val="16"/>
        </w:rPr>
        <w:t>, vol. 21, no. 9, </w:t>
      </w:r>
      <w:r>
        <w:rPr>
          <w:sz w:val="16"/>
        </w:rPr>
        <w:t>pp.</w:t>
      </w:r>
      <w:r>
        <w:rPr>
          <w:spacing w:val="40"/>
          <w:sz w:val="16"/>
        </w:rPr>
        <w:t> </w:t>
      </w:r>
      <w:r>
        <w:rPr>
          <w:sz w:val="16"/>
        </w:rPr>
        <w:t>1263–1284, 2009.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237" w:hanging="286"/>
        <w:jc w:val="both"/>
        <w:rPr>
          <w:sz w:val="16"/>
        </w:rPr>
      </w:pPr>
      <w:r>
        <w:rPr>
          <w:sz w:val="16"/>
        </w:rPr>
        <w:t>T. Saito and M. Rehmsmeier, “The Precision-Recall Plot Is More</w:t>
      </w:r>
      <w:r>
        <w:rPr>
          <w:spacing w:val="40"/>
          <w:sz w:val="16"/>
        </w:rPr>
        <w:t> </w:t>
      </w:r>
      <w:r>
        <w:rPr>
          <w:sz w:val="16"/>
        </w:rPr>
        <w:t>Informative</w:t>
      </w:r>
      <w:r>
        <w:rPr>
          <w:spacing w:val="39"/>
          <w:sz w:val="16"/>
        </w:rPr>
        <w:t> </w:t>
      </w:r>
      <w:r>
        <w:rPr>
          <w:sz w:val="16"/>
        </w:rPr>
        <w:t>than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ROC</w:t>
      </w:r>
      <w:r>
        <w:rPr>
          <w:spacing w:val="39"/>
          <w:sz w:val="16"/>
        </w:rPr>
        <w:t> </w:t>
      </w:r>
      <w:r>
        <w:rPr>
          <w:sz w:val="16"/>
        </w:rPr>
        <w:t>Plot</w:t>
      </w:r>
      <w:r>
        <w:rPr>
          <w:spacing w:val="39"/>
          <w:sz w:val="16"/>
        </w:rPr>
        <w:t> </w:t>
      </w:r>
      <w:r>
        <w:rPr>
          <w:sz w:val="16"/>
        </w:rPr>
        <w:t>When</w:t>
      </w:r>
      <w:r>
        <w:rPr>
          <w:spacing w:val="39"/>
          <w:sz w:val="16"/>
        </w:rPr>
        <w:t> </w:t>
      </w:r>
      <w:r>
        <w:rPr>
          <w:sz w:val="16"/>
        </w:rPr>
        <w:t>Evaluating</w:t>
      </w:r>
      <w:r>
        <w:rPr>
          <w:spacing w:val="39"/>
          <w:sz w:val="16"/>
        </w:rPr>
        <w:t> </w:t>
      </w:r>
      <w:r>
        <w:rPr>
          <w:sz w:val="16"/>
        </w:rPr>
        <w:t>Binary</w:t>
      </w:r>
      <w:r>
        <w:rPr>
          <w:spacing w:val="39"/>
          <w:sz w:val="16"/>
        </w:rPr>
        <w:t> </w:t>
      </w:r>
      <w:r>
        <w:rPr>
          <w:sz w:val="16"/>
        </w:rPr>
        <w:t>Classifiers</w:t>
      </w:r>
      <w:r>
        <w:rPr>
          <w:spacing w:val="40"/>
          <w:sz w:val="16"/>
        </w:rPr>
        <w:t> </w:t>
      </w:r>
      <w:r>
        <w:rPr>
          <w:sz w:val="16"/>
        </w:rPr>
        <w:t>on Imbalanced Datasets,” </w:t>
      </w:r>
      <w:r>
        <w:rPr>
          <w:i/>
          <w:sz w:val="16"/>
        </w:rPr>
        <w:t>PLOS ONE</w:t>
      </w:r>
      <w:r>
        <w:rPr>
          <w:sz w:val="16"/>
        </w:rPr>
        <w:t>, vol. 10, no. 3, Art. no. e0118432,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2015.</w:t>
      </w:r>
    </w:p>
    <w:sectPr>
      <w:type w:val="continuous"/>
      <w:pgSz w:w="12240" w:h="15840"/>
      <w:pgMar w:top="900" w:bottom="280" w:left="720" w:right="720"/>
      <w:cols w:num="2" w:equalWidth="0">
        <w:col w:w="5316" w:space="40"/>
        <w:col w:w="544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61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3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6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8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0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1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3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9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9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7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7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86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6" w:hanging="23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65" w:right="63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9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2026-10-27T14:56:24Z</dcterms:created>
  <dcterms:modified xsi:type="dcterms:W3CDTF">2026-10-27T14:56:24Z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TeX</vt:lpwstr>
  </property>
  <property fmtid="{D5CDD505-2E9C-101B-9397-08002B2CF9AE}" pid="5" name="LastSaved">
    <vt:filetime>2026-10-27T00:00:00Z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