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Line 4 Pump and Motor Alignment Report</w:t>
      </w:r>
    </w:p>
    <w:p>
      <w:pPr>
        <w:jc w:val="center"/>
      </w:pPr>
      <w:r>
        <w:rPr>
          <w:rFonts w:ascii="Arial" w:hAnsi="Arial"/>
          <w:sz w:val="18"/>
        </w:rPr>
        <w:t>P-4102 / M-4102 / CPL-4102 laser alignment and baseplate observations</w:t>
      </w:r>
    </w:p>
    <w:p/>
    <w:p>
      <w:pPr>
        <w:pStyle w:val="Heading1"/>
      </w:pPr>
      <w:r>
        <w:t>Work scope and setup</w:t>
      </w:r>
    </w:p>
    <w:p>
      <w:r>
        <w:t>Alignment check was performed on 2026-02-11 between 21:05 and 23:10 under WO-57302 after blue witness marks suggested the motor had shifted on the baseplate. The contractor used a ShaftLine SL-320 laser kit. Machine train: M-4102 motor driving P-4102 centrifugal pump through CPL-4102 jaw coupling. Coupling spacer length measured at 82 mm. Pump was treated as fixed machine for the final correction.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304"/>
            <w:shd w:fill="D9EAF7"/>
            <w:vAlign w:val="center"/>
          </w:tcPr>
          <w:p>
            <w:r/>
            <w:r>
              <w:rPr>
                <w:b/>
                <w:sz w:val="17"/>
              </w:rPr>
              <w:t>Reference</w:t>
            </w:r>
          </w:p>
        </w:tc>
        <w:tc>
          <w:tcPr>
            <w:tcW w:type="dxa" w:w="1728"/>
            <w:shd w:fill="D9EAF7"/>
            <w:vAlign w:val="center"/>
          </w:tcPr>
          <w:p>
            <w:r/>
            <w:r>
              <w:rPr>
                <w:b/>
                <w:sz w:val="17"/>
              </w:rPr>
              <w:t>Speed class</w:t>
            </w:r>
          </w:p>
        </w:tc>
        <w:tc>
          <w:tcPr>
            <w:tcW w:type="dxa" w:w="1440"/>
            <w:shd w:fill="D9EAF7"/>
            <w:vAlign w:val="center"/>
          </w:tcPr>
          <w:p>
            <w:r/>
            <w:r>
              <w:rPr>
                <w:b/>
                <w:sz w:val="17"/>
              </w:rPr>
              <w:t>Parallel offset limit</w:t>
            </w:r>
          </w:p>
        </w:tc>
        <w:tc>
          <w:tcPr>
            <w:tcW w:type="dxa" w:w="1728"/>
            <w:shd w:fill="D9EAF7"/>
            <w:vAlign w:val="center"/>
          </w:tcPr>
          <w:p>
            <w:r/>
            <w:r>
              <w:rPr>
                <w:b/>
                <w:sz w:val="17"/>
              </w:rPr>
              <w:t>Angular limit</w:t>
            </w:r>
          </w:p>
        </w:tc>
        <w:tc>
          <w:tcPr>
            <w:tcW w:type="dxa" w:w="2880"/>
            <w:shd w:fill="D9EAF7"/>
            <w:vAlign w:val="center"/>
          </w:tcPr>
          <w:p>
            <w:r/>
            <w:r>
              <w:rPr>
                <w:b/>
                <w:sz w:val="17"/>
              </w:rPr>
              <w:t>Status in report</w:t>
            </w:r>
          </w:p>
        </w:tc>
      </w:tr>
      <w:tr>
        <w:tc>
          <w:tcPr>
            <w:tcW w:type="dxa" w:w="2304"/>
            <w:vAlign w:val="top"/>
          </w:tcPr>
          <w:p>
            <w:r/>
            <w:r>
              <w:rPr>
                <w:b w:val="0"/>
                <w:sz w:val="17"/>
              </w:rPr>
              <w:t>General site tolerance sheet MT-01</w:t>
            </w:r>
          </w:p>
        </w:tc>
        <w:tc>
          <w:tcPr>
            <w:tcW w:type="dxa" w:w="1728"/>
            <w:vAlign w:val="top"/>
          </w:tcPr>
          <w:p>
            <w:r/>
            <w:r>
              <w:rPr>
                <w:b w:val="0"/>
                <w:sz w:val="17"/>
              </w:rPr>
              <w:t>1500 to 3000 rpm</w:t>
            </w:r>
          </w:p>
        </w:tc>
        <w:tc>
          <w:tcPr>
            <w:tcW w:type="dxa" w:w="1440"/>
            <w:vAlign w:val="top"/>
          </w:tcPr>
          <w:p>
            <w:r/>
            <w:r>
              <w:rPr>
                <w:b w:val="0"/>
                <w:sz w:val="17"/>
              </w:rPr>
              <w:t>0.15 mm</w:t>
            </w:r>
          </w:p>
        </w:tc>
        <w:tc>
          <w:tcPr>
            <w:tcW w:type="dxa" w:w="1728"/>
            <w:vAlign w:val="top"/>
          </w:tcPr>
          <w:p>
            <w:r/>
            <w:r>
              <w:rPr>
                <w:b w:val="0"/>
                <w:sz w:val="17"/>
              </w:rPr>
              <w:t>0.15 mm per 100 mm</w:t>
            </w:r>
          </w:p>
        </w:tc>
        <w:tc>
          <w:tcPr>
            <w:tcW w:type="dxa" w:w="2880"/>
            <w:vAlign w:val="top"/>
          </w:tcPr>
          <w:p>
            <w:r/>
            <w:r>
              <w:rPr>
                <w:b w:val="0"/>
                <w:sz w:val="17"/>
              </w:rPr>
              <w:t>used by contractor for pass/fail</w:t>
            </w:r>
          </w:p>
        </w:tc>
      </w:tr>
      <w:tr>
        <w:tc>
          <w:tcPr>
            <w:tcW w:type="dxa" w:w="2304"/>
            <w:vAlign w:val="top"/>
          </w:tcPr>
          <w:p>
            <w:r/>
            <w:r>
              <w:rPr>
                <w:b w:val="0"/>
                <w:sz w:val="17"/>
              </w:rPr>
              <w:t>OEM excerpt KCP-65-160, section 5.4</w:t>
            </w:r>
          </w:p>
        </w:tc>
        <w:tc>
          <w:tcPr>
            <w:tcW w:type="dxa" w:w="1728"/>
            <w:vAlign w:val="top"/>
          </w:tcPr>
          <w:p>
            <w:r/>
            <w:r>
              <w:rPr>
                <w:b w:val="0"/>
                <w:sz w:val="17"/>
              </w:rPr>
              <w:t>2 pole motor, flexible jaw coupling</w:t>
            </w:r>
          </w:p>
        </w:tc>
        <w:tc>
          <w:tcPr>
            <w:tcW w:type="dxa" w:w="1440"/>
            <w:vAlign w:val="top"/>
          </w:tcPr>
          <w:p>
            <w:r/>
            <w:r>
              <w:rPr>
                <w:b w:val="0"/>
                <w:sz w:val="17"/>
              </w:rPr>
              <w:t>0.05 mm cold</w:t>
            </w:r>
          </w:p>
        </w:tc>
        <w:tc>
          <w:tcPr>
            <w:tcW w:type="dxa" w:w="1728"/>
            <w:vAlign w:val="top"/>
          </w:tcPr>
          <w:p>
            <w:r/>
            <w:r>
              <w:rPr>
                <w:b w:val="0"/>
                <w:sz w:val="17"/>
              </w:rPr>
              <w:t>0.05 mm per 100 mm cold</w:t>
            </w:r>
          </w:p>
        </w:tc>
        <w:tc>
          <w:tcPr>
            <w:tcW w:type="dxa" w:w="2880"/>
            <w:vAlign w:val="top"/>
          </w:tcPr>
          <w:p>
            <w:r/>
            <w:r>
              <w:rPr>
                <w:b w:val="0"/>
                <w:sz w:val="17"/>
              </w:rPr>
              <w:t>available in binder but not used for pass/fail</w:t>
            </w:r>
          </w:p>
        </w:tc>
      </w:tr>
    </w:tbl>
    <w:p/>
    <w:p>
      <w:pPr>
        <w:pStyle w:val="Heading1"/>
      </w:pPr>
      <w:r>
        <w:t>Laser readings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872"/>
            <w:shd w:fill="D9EAF7"/>
            <w:vAlign w:val="center"/>
          </w:tcPr>
          <w:p>
            <w:r/>
            <w:r>
              <w:rPr>
                <w:b/>
                <w:sz w:val="17"/>
              </w:rPr>
              <w:t>Step</w:t>
            </w:r>
          </w:p>
        </w:tc>
        <w:tc>
          <w:tcPr>
            <w:tcW w:type="dxa" w:w="1296"/>
            <w:shd w:fill="D9EAF7"/>
            <w:vAlign w:val="center"/>
          </w:tcPr>
          <w:p>
            <w:r/>
            <w:r>
              <w:rPr>
                <w:b/>
                <w:sz w:val="17"/>
              </w:rPr>
              <w:t>Vertical offset</w:t>
            </w:r>
          </w:p>
        </w:tc>
        <w:tc>
          <w:tcPr>
            <w:tcW w:type="dxa" w:w="1584"/>
            <w:shd w:fill="D9EAF7"/>
            <w:vAlign w:val="center"/>
          </w:tcPr>
          <w:p>
            <w:r/>
            <w:r>
              <w:rPr>
                <w:b/>
                <w:sz w:val="17"/>
              </w:rPr>
              <w:t>Vertical angular</w:t>
            </w:r>
          </w:p>
        </w:tc>
        <w:tc>
          <w:tcPr>
            <w:tcW w:type="dxa" w:w="1296"/>
            <w:shd w:fill="D9EAF7"/>
            <w:vAlign w:val="center"/>
          </w:tcPr>
          <w:p>
            <w:r/>
            <w:r>
              <w:rPr>
                <w:b/>
                <w:sz w:val="17"/>
              </w:rPr>
              <w:t>Horizontal offset</w:t>
            </w:r>
          </w:p>
        </w:tc>
        <w:tc>
          <w:tcPr>
            <w:tcW w:type="dxa" w:w="1584"/>
            <w:shd w:fill="D9EAF7"/>
            <w:vAlign w:val="center"/>
          </w:tcPr>
          <w:p>
            <w:r/>
            <w:r>
              <w:rPr>
                <w:b/>
                <w:sz w:val="17"/>
              </w:rPr>
              <w:t>Horizontal angular</w:t>
            </w:r>
          </w:p>
        </w:tc>
        <w:tc>
          <w:tcPr>
            <w:tcW w:type="dxa" w:w="2880"/>
            <w:shd w:fill="D9EAF7"/>
            <w:vAlign w:val="center"/>
          </w:tcPr>
          <w:p>
            <w:r/>
            <w:r>
              <w:rPr>
                <w:b/>
                <w:sz w:val="17"/>
              </w:rPr>
              <w:t>Comment</w:t>
            </w:r>
          </w:p>
        </w:tc>
      </w:tr>
      <w:tr>
        <w:tc>
          <w:tcPr>
            <w:tcW w:type="dxa" w:w="1872"/>
            <w:vAlign w:val="top"/>
          </w:tcPr>
          <w:p>
            <w:r/>
            <w:r>
              <w:rPr>
                <w:b w:val="0"/>
                <w:sz w:val="17"/>
              </w:rPr>
              <w:t>Initial as-found</w:t>
            </w:r>
          </w:p>
        </w:tc>
        <w:tc>
          <w:tcPr>
            <w:tcW w:type="dxa" w:w="1296"/>
            <w:vAlign w:val="top"/>
          </w:tcPr>
          <w:p>
            <w:r/>
            <w:r>
              <w:rPr>
                <w:b w:val="0"/>
                <w:sz w:val="17"/>
              </w:rPr>
              <w:t>-0.18 mm</w:t>
            </w:r>
          </w:p>
        </w:tc>
        <w:tc>
          <w:tcPr>
            <w:tcW w:type="dxa" w:w="1584"/>
            <w:vAlign w:val="top"/>
          </w:tcPr>
          <w:p>
            <w:r/>
            <w:r>
              <w:rPr>
                <w:b w:val="0"/>
                <w:sz w:val="17"/>
              </w:rPr>
              <w:t>-0.14 mm/100 mm</w:t>
            </w:r>
          </w:p>
        </w:tc>
        <w:tc>
          <w:tcPr>
            <w:tcW w:type="dxa" w:w="1296"/>
            <w:vAlign w:val="top"/>
          </w:tcPr>
          <w:p>
            <w:r/>
            <w:r>
              <w:rPr>
                <w:b w:val="0"/>
                <w:sz w:val="17"/>
              </w:rPr>
              <w:t>+0.31 mm</w:t>
            </w:r>
          </w:p>
        </w:tc>
        <w:tc>
          <w:tcPr>
            <w:tcW w:type="dxa" w:w="1584"/>
            <w:vAlign w:val="top"/>
          </w:tcPr>
          <w:p>
            <w:r/>
            <w:r>
              <w:rPr>
                <w:b w:val="0"/>
                <w:sz w:val="17"/>
              </w:rPr>
              <w:t>-0.22 mm/100 mm</w:t>
            </w:r>
          </w:p>
        </w:tc>
        <w:tc>
          <w:tcPr>
            <w:tcW w:type="dxa" w:w="2880"/>
            <w:vAlign w:val="top"/>
          </w:tcPr>
          <w:p>
            <w:r/>
            <w:r>
              <w:rPr>
                <w:b w:val="0"/>
                <w:sz w:val="17"/>
              </w:rPr>
              <w:t>Clearly outside both tolerance sets.</w:t>
            </w:r>
          </w:p>
        </w:tc>
      </w:tr>
      <w:tr>
        <w:tc>
          <w:tcPr>
            <w:tcW w:type="dxa" w:w="1872"/>
            <w:vAlign w:val="top"/>
          </w:tcPr>
          <w:p>
            <w:r/>
            <w:r>
              <w:rPr>
                <w:b w:val="0"/>
                <w:sz w:val="17"/>
              </w:rPr>
              <w:t>After first shim move</w:t>
            </w:r>
          </w:p>
        </w:tc>
        <w:tc>
          <w:tcPr>
            <w:tcW w:type="dxa" w:w="1296"/>
            <w:vAlign w:val="top"/>
          </w:tcPr>
          <w:p>
            <w:r/>
            <w:r>
              <w:rPr>
                <w:b w:val="0"/>
                <w:sz w:val="17"/>
              </w:rPr>
              <w:t>-0.06 mm</w:t>
            </w:r>
          </w:p>
        </w:tc>
        <w:tc>
          <w:tcPr>
            <w:tcW w:type="dxa" w:w="1584"/>
            <w:vAlign w:val="top"/>
          </w:tcPr>
          <w:p>
            <w:r/>
            <w:r>
              <w:rPr>
                <w:b w:val="0"/>
                <w:sz w:val="17"/>
              </w:rPr>
              <w:t>-0.04 mm/100 mm</w:t>
            </w:r>
          </w:p>
        </w:tc>
        <w:tc>
          <w:tcPr>
            <w:tcW w:type="dxa" w:w="1296"/>
            <w:vAlign w:val="top"/>
          </w:tcPr>
          <w:p>
            <w:r/>
            <w:r>
              <w:rPr>
                <w:b w:val="0"/>
                <w:sz w:val="17"/>
              </w:rPr>
              <w:t>+0.18 mm</w:t>
            </w:r>
          </w:p>
        </w:tc>
        <w:tc>
          <w:tcPr>
            <w:tcW w:type="dxa" w:w="1584"/>
            <w:vAlign w:val="top"/>
          </w:tcPr>
          <w:p>
            <w:r/>
            <w:r>
              <w:rPr>
                <w:b w:val="0"/>
                <w:sz w:val="17"/>
              </w:rPr>
              <w:t>-0.13 mm/100 mm</w:t>
            </w:r>
          </w:p>
        </w:tc>
        <w:tc>
          <w:tcPr>
            <w:tcW w:type="dxa" w:w="2880"/>
            <w:vAlign w:val="top"/>
          </w:tcPr>
          <w:p>
            <w:r/>
            <w:r>
              <w:rPr>
                <w:b w:val="0"/>
                <w:sz w:val="17"/>
              </w:rPr>
              <w:t>Vertical close to OEM; horizontal still high.</w:t>
            </w:r>
          </w:p>
        </w:tc>
      </w:tr>
      <w:tr>
        <w:tc>
          <w:tcPr>
            <w:tcW w:type="dxa" w:w="1872"/>
            <w:vAlign w:val="top"/>
          </w:tcPr>
          <w:p>
            <w:r/>
            <w:r>
              <w:rPr>
                <w:b w:val="0"/>
                <w:sz w:val="17"/>
              </w:rPr>
              <w:t>Final recorded reading</w:t>
            </w:r>
          </w:p>
        </w:tc>
        <w:tc>
          <w:tcPr>
            <w:tcW w:type="dxa" w:w="1296"/>
            <w:vAlign w:val="top"/>
          </w:tcPr>
          <w:p>
            <w:r/>
            <w:r>
              <w:rPr>
                <w:b w:val="0"/>
                <w:sz w:val="17"/>
              </w:rPr>
              <w:t>-0.03 mm</w:t>
            </w:r>
          </w:p>
        </w:tc>
        <w:tc>
          <w:tcPr>
            <w:tcW w:type="dxa" w:w="1584"/>
            <w:vAlign w:val="top"/>
          </w:tcPr>
          <w:p>
            <w:r/>
            <w:r>
              <w:rPr>
                <w:b w:val="0"/>
                <w:sz w:val="17"/>
              </w:rPr>
              <w:t>-0.04 mm/100 mm</w:t>
            </w:r>
          </w:p>
        </w:tc>
        <w:tc>
          <w:tcPr>
            <w:tcW w:type="dxa" w:w="1296"/>
            <w:vAlign w:val="top"/>
          </w:tcPr>
          <w:p>
            <w:r/>
            <w:r>
              <w:rPr>
                <w:b w:val="0"/>
                <w:sz w:val="17"/>
              </w:rPr>
              <w:t>+0.12 mm</w:t>
            </w:r>
          </w:p>
        </w:tc>
        <w:tc>
          <w:tcPr>
            <w:tcW w:type="dxa" w:w="1584"/>
            <w:vAlign w:val="top"/>
          </w:tcPr>
          <w:p>
            <w:r/>
            <w:r>
              <w:rPr>
                <w:b w:val="0"/>
                <w:sz w:val="17"/>
              </w:rPr>
              <w:t>-0.09 mm/100 mm</w:t>
            </w:r>
          </w:p>
        </w:tc>
        <w:tc>
          <w:tcPr>
            <w:tcW w:type="dxa" w:w="2880"/>
            <w:vAlign w:val="top"/>
          </w:tcPr>
          <w:p>
            <w:r/>
            <w:r>
              <w:rPr>
                <w:b w:val="0"/>
                <w:sz w:val="17"/>
              </w:rPr>
              <w:t>Passed against general site sheet but failed OEM pump tolerance.</w:t>
            </w:r>
          </w:p>
        </w:tc>
      </w:tr>
      <w:tr>
        <w:tc>
          <w:tcPr>
            <w:tcW w:type="dxa" w:w="1872"/>
            <w:vAlign w:val="top"/>
          </w:tcPr>
          <w:p>
            <w:r/>
            <w:r>
              <w:rPr>
                <w:b w:val="0"/>
                <w:sz w:val="17"/>
              </w:rPr>
              <w:t>Thermal growth allowance applied</w:t>
            </w:r>
          </w:p>
        </w:tc>
        <w:tc>
          <w:tcPr>
            <w:tcW w:type="dxa" w:w="1296"/>
            <w:vAlign w:val="top"/>
          </w:tcPr>
          <w:p>
            <w:r/>
            <w:r>
              <w:rPr>
                <w:b w:val="0"/>
                <w:sz w:val="17"/>
              </w:rPr>
              <w:t>0.00 mm</w:t>
            </w:r>
          </w:p>
        </w:tc>
        <w:tc>
          <w:tcPr>
            <w:tcW w:type="dxa" w:w="1584"/>
            <w:vAlign w:val="top"/>
          </w:tcPr>
          <w:p>
            <w:r/>
            <w:r>
              <w:rPr>
                <w:b w:val="0"/>
                <w:sz w:val="17"/>
              </w:rPr>
              <w:t>0.00 mm/100 mm</w:t>
            </w:r>
          </w:p>
        </w:tc>
        <w:tc>
          <w:tcPr>
            <w:tcW w:type="dxa" w:w="1296"/>
            <w:vAlign w:val="top"/>
          </w:tcPr>
          <w:p>
            <w:r/>
            <w:r>
              <w:rPr>
                <w:b w:val="0"/>
                <w:sz w:val="17"/>
              </w:rPr>
              <w:t>none applied</w:t>
            </w:r>
          </w:p>
        </w:tc>
        <w:tc>
          <w:tcPr>
            <w:tcW w:type="dxa" w:w="1584"/>
            <w:vAlign w:val="top"/>
          </w:tcPr>
          <w:p>
            <w:r/>
            <w:r>
              <w:rPr>
                <w:b w:val="0"/>
                <w:sz w:val="17"/>
              </w:rPr>
              <w:t>none applied</w:t>
            </w:r>
          </w:p>
        </w:tc>
        <w:tc>
          <w:tcPr>
            <w:tcW w:type="dxa" w:w="2880"/>
            <w:vAlign w:val="top"/>
          </w:tcPr>
          <w:p>
            <w:r/>
            <w:r>
              <w:rPr>
                <w:b w:val="0"/>
                <w:sz w:val="17"/>
              </w:rPr>
              <w:t>No documented reason for ignoring horizontal thermal or base movement.</w:t>
            </w:r>
          </w:p>
        </w:tc>
      </w:tr>
    </w:tbl>
    <w:p/>
    <w:p>
      <w:pPr>
        <w:pStyle w:val="Heading1"/>
      </w:pPr>
      <w:r>
        <w:t>Baseplate and soft foot observations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shd w:fill="D9EAF7"/>
            <w:vAlign w:val="center"/>
          </w:tcPr>
          <w:p>
            <w:r/>
            <w:r>
              <w:rPr>
                <w:b/>
                <w:sz w:val="17"/>
              </w:rPr>
              <w:t>Location</w:t>
            </w:r>
          </w:p>
        </w:tc>
        <w:tc>
          <w:tcPr>
            <w:tcW w:type="dxa" w:w="2880"/>
            <w:shd w:fill="D9EAF7"/>
            <w:vAlign w:val="center"/>
          </w:tcPr>
          <w:p>
            <w:r/>
            <w:r>
              <w:rPr>
                <w:b/>
                <w:sz w:val="17"/>
              </w:rPr>
              <w:t>Finding</w:t>
            </w:r>
          </w:p>
        </w:tc>
        <w:tc>
          <w:tcPr>
            <w:tcW w:type="dxa" w:w="2160"/>
            <w:shd w:fill="D9EAF7"/>
            <w:vAlign w:val="center"/>
          </w:tcPr>
          <w:p>
            <w:r/>
            <w:r>
              <w:rPr>
                <w:b/>
                <w:sz w:val="17"/>
              </w:rPr>
              <w:t>Action</w:t>
            </w:r>
          </w:p>
        </w:tc>
        <w:tc>
          <w:tcPr>
            <w:tcW w:type="dxa" w:w="3312"/>
            <w:shd w:fill="D9EAF7"/>
            <w:vAlign w:val="center"/>
          </w:tcPr>
          <w:p>
            <w:r/>
            <w:r>
              <w:rPr>
                <w:b/>
                <w:sz w:val="17"/>
              </w:rPr>
              <w:t>Residual issue</w:t>
            </w:r>
          </w:p>
        </w:tc>
      </w:tr>
      <w:tr>
        <w:tc>
          <w:tcPr>
            <w:tcW w:type="dxa" w:w="1872"/>
            <w:vAlign w:val="top"/>
          </w:tcPr>
          <w:p>
            <w:r/>
            <w:r>
              <w:rPr>
                <w:b w:val="0"/>
                <w:sz w:val="17"/>
              </w:rPr>
              <w:t>Motor front left foot</w:t>
            </w:r>
          </w:p>
        </w:tc>
        <w:tc>
          <w:tcPr>
            <w:tcW w:type="dxa" w:w="2880"/>
            <w:vAlign w:val="top"/>
          </w:tcPr>
          <w:p>
            <w:r/>
            <w:r>
              <w:rPr>
                <w:b w:val="0"/>
                <w:sz w:val="17"/>
              </w:rPr>
              <w:t>0.08 mm feeler entered after bolt loosened</w:t>
            </w:r>
          </w:p>
        </w:tc>
        <w:tc>
          <w:tcPr>
            <w:tcW w:type="dxa" w:w="2160"/>
            <w:vAlign w:val="top"/>
          </w:tcPr>
          <w:p>
            <w:r/>
            <w:r>
              <w:rPr>
                <w:b w:val="0"/>
                <w:sz w:val="17"/>
              </w:rPr>
              <w:t>Added 0.05 mm shim and retightened</w:t>
            </w:r>
          </w:p>
        </w:tc>
        <w:tc>
          <w:tcPr>
            <w:tcW w:type="dxa" w:w="3312"/>
            <w:vAlign w:val="top"/>
          </w:tcPr>
          <w:p>
            <w:r/>
            <w:r>
              <w:rPr>
                <w:b w:val="0"/>
                <w:sz w:val="17"/>
              </w:rPr>
              <w:t>Borderline soft foot remains because final lift not rechecked after horizontal move.</w:t>
            </w:r>
          </w:p>
        </w:tc>
      </w:tr>
      <w:tr>
        <w:tc>
          <w:tcPr>
            <w:tcW w:type="dxa" w:w="1872"/>
            <w:vAlign w:val="top"/>
          </w:tcPr>
          <w:p>
            <w:r/>
            <w:r>
              <w:rPr>
                <w:b w:val="0"/>
                <w:sz w:val="17"/>
              </w:rPr>
              <w:t>Motor rear right foot</w:t>
            </w:r>
          </w:p>
        </w:tc>
        <w:tc>
          <w:tcPr>
            <w:tcW w:type="dxa" w:w="2880"/>
            <w:vAlign w:val="top"/>
          </w:tcPr>
          <w:p>
            <w:r/>
            <w:r>
              <w:rPr>
                <w:b w:val="0"/>
                <w:sz w:val="17"/>
              </w:rPr>
              <w:t>0.04 mm lift on loosen test</w:t>
            </w:r>
          </w:p>
        </w:tc>
        <w:tc>
          <w:tcPr>
            <w:tcW w:type="dxa" w:w="2160"/>
            <w:vAlign w:val="top"/>
          </w:tcPr>
          <w:p>
            <w:r/>
            <w:r>
              <w:rPr>
                <w:b w:val="0"/>
                <w:sz w:val="17"/>
              </w:rPr>
              <w:t>No shim added</w:t>
            </w:r>
          </w:p>
        </w:tc>
        <w:tc>
          <w:tcPr>
            <w:tcW w:type="dxa" w:w="3312"/>
            <w:vAlign w:val="top"/>
          </w:tcPr>
          <w:p>
            <w:r/>
            <w:r>
              <w:rPr>
                <w:b w:val="0"/>
                <w:sz w:val="17"/>
              </w:rPr>
              <w:t>Acceptable if OEM alignment is reached; not the main cause alone.</w:t>
            </w:r>
          </w:p>
        </w:tc>
      </w:tr>
      <w:tr>
        <w:tc>
          <w:tcPr>
            <w:tcW w:type="dxa" w:w="1872"/>
            <w:vAlign w:val="top"/>
          </w:tcPr>
          <w:p>
            <w:r/>
            <w:r>
              <w:rPr>
                <w:b w:val="0"/>
                <w:sz w:val="17"/>
              </w:rPr>
              <w:t>Pump plinth grout edge</w:t>
            </w:r>
          </w:p>
        </w:tc>
        <w:tc>
          <w:tcPr>
            <w:tcW w:type="dxa" w:w="2880"/>
            <w:vAlign w:val="top"/>
          </w:tcPr>
          <w:p>
            <w:r/>
            <w:r>
              <w:rPr>
                <w:b w:val="0"/>
                <w:sz w:val="17"/>
              </w:rPr>
              <w:t>hairline crack at south front corner; old paint line displaced by about 1 mm</w:t>
            </w:r>
          </w:p>
        </w:tc>
        <w:tc>
          <w:tcPr>
            <w:tcW w:type="dxa" w:w="2160"/>
            <w:vAlign w:val="top"/>
          </w:tcPr>
          <w:p>
            <w:r/>
            <w:r>
              <w:rPr>
                <w:b w:val="0"/>
                <w:sz w:val="17"/>
              </w:rPr>
              <w:t>Photographed and marked with paint pen</w:t>
            </w:r>
          </w:p>
        </w:tc>
        <w:tc>
          <w:tcPr>
            <w:tcW w:type="dxa" w:w="3312"/>
            <w:vAlign w:val="top"/>
          </w:tcPr>
          <w:p>
            <w:r/>
            <w:r>
              <w:rPr>
                <w:b w:val="0"/>
                <w:sz w:val="17"/>
              </w:rPr>
              <w:t>Could allow repeat movement under pipe load; needs follow-up.</w:t>
            </w:r>
          </w:p>
        </w:tc>
      </w:tr>
      <w:tr>
        <w:tc>
          <w:tcPr>
            <w:tcW w:type="dxa" w:w="1872"/>
            <w:vAlign w:val="top"/>
          </w:tcPr>
          <w:p>
            <w:r/>
            <w:r>
              <w:rPr>
                <w:b w:val="0"/>
                <w:sz w:val="17"/>
              </w:rPr>
              <w:t>Suction pipe support</w:t>
            </w:r>
          </w:p>
        </w:tc>
        <w:tc>
          <w:tcPr>
            <w:tcW w:type="dxa" w:w="2880"/>
            <w:vAlign w:val="top"/>
          </w:tcPr>
          <w:p>
            <w:r/>
            <w:r>
              <w:rPr>
                <w:b w:val="0"/>
                <w:sz w:val="17"/>
              </w:rPr>
              <w:t>support clamp was loose by hand before tightening</w:t>
            </w:r>
          </w:p>
        </w:tc>
        <w:tc>
          <w:tcPr>
            <w:tcW w:type="dxa" w:w="2160"/>
            <w:vAlign w:val="top"/>
          </w:tcPr>
          <w:p>
            <w:r/>
            <w:r>
              <w:rPr>
                <w:b w:val="0"/>
                <w:sz w:val="17"/>
              </w:rPr>
              <w:t>Tightened clamp after alignment readings</w:t>
            </w:r>
          </w:p>
        </w:tc>
        <w:tc>
          <w:tcPr>
            <w:tcW w:type="dxa" w:w="3312"/>
            <w:vAlign w:val="top"/>
          </w:tcPr>
          <w:p>
            <w:r/>
            <w:r>
              <w:rPr>
                <w:b w:val="0"/>
                <w:sz w:val="17"/>
              </w:rPr>
              <w:t>Tightening after readings may have changed pump strain. No repeat measurement recorded.</w:t>
            </w:r>
          </w:p>
        </w:tc>
      </w:tr>
    </w:tbl>
    <w:p/>
    <w:p>
      <w:pPr>
        <w:pStyle w:val="Heading1"/>
      </w:pPr>
      <w:r>
        <w:t>Contractor close-out note</w:t>
      </w:r>
    </w:p>
    <w:p>
      <w:r>
        <w:t>Contractor close-out marked the job PASS using the general site tolerance sheet. The final reading was not within the OEM pump tolerance for the documented speed class. The report does not prove a satisfactory final alignment for P-4102, because OEM-specific tolerances were stricter and were available in the maintenance binder.</w:t>
      </w:r>
    </w:p>
    <w:p>
      <w:pPr>
        <w:pStyle w:val="Heading1"/>
      </w:pPr>
      <w:r>
        <w:t>Technician interpretation limits</w:t>
      </w:r>
    </w:p>
    <w:p>
      <w:pPr>
        <w:pStyle w:val="ListBullet"/>
      </w:pPr>
      <w:r>
        <w:t>The report supports misalignment as a credible contributor to dominant 1x vibration and seal loading.</w:t>
      </w:r>
    </w:p>
    <w:p>
      <w:pPr>
        <w:pStyle w:val="ListBullet"/>
      </w:pPr>
      <w:r>
        <w:t>The report does not by itself confirm bearing damage. Vibration spectrum and temperature history should be used for bearing assessment.</w:t>
      </w:r>
    </w:p>
    <w:p>
      <w:pPr>
        <w:pStyle w:val="ListBullet"/>
      </w:pPr>
      <w:r>
        <w:t>The report should not be treated as a pass unless the evaluator intentionally chooses the general site tolerance over the OEM tolerance and explains why.</w:t>
      </w:r>
    </w:p>
    <w:p>
      <w:pPr>
        <w:pStyle w:val="ListBullet"/>
      </w:pPr>
      <w:r>
        <w:t>Pipe strain could have changed after the suction support clamp was tightened, because no repeat laser reading was documented afterward.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 4 Pump and Motor Alignment Report</dc:title>
  <dc:subject>P-4102 / M-4102 / CPL-4102 laser alignment and baseplate observations</dc:subject>
  <dc:creator>Line 4 Maintenance</dc:creator>
  <cp:keywords/>
  <dc:description>generated by python-docx</dc:description>
  <cp:lastModifiedBy>Line 4 Maintenance</cp:lastModifiedBy>
  <cp:revision>1</cp:revision>
  <dcterms:created xsi:type="dcterms:W3CDTF">2013-12-23T23:15:00Z</dcterms:created>
  <dcterms:modified xsi:type="dcterms:W3CDTF">2013-12-23T23:15:00Z</dcterms:modified>
  <cp:category/>
</cp:coreProperties>
</file>