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BR-32 Inspection Notes and Closeout Log</w:t>
      </w:r>
    </w:p>
    <w:p>
      <w:r>
        <w:rPr>
          <w:b/>
          <w:sz w:val="20"/>
        </w:rPr>
        <w:t>Inspection_Notes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  <w:shd w:fill="1F4E79"/>
          </w:tcPr>
          <w:p>
            <w:r>
              <w:rPr>
                <w:b/>
                <w:sz w:val="16"/>
              </w:rPr>
              <w:t>record_id</w:t>
            </w:r>
          </w:p>
        </w:tc>
        <w:tc>
          <w:tcPr>
            <w:tcW w:type="dxa" w:w="1350"/>
            <w:shd w:fill="1F4E79"/>
          </w:tcPr>
          <w:p>
            <w:r>
              <w:rPr>
                <w:b/>
                <w:sz w:val="16"/>
              </w:rPr>
              <w:t>span_id</w:t>
            </w:r>
          </w:p>
        </w:tc>
        <w:tc>
          <w:tcPr>
            <w:tcW w:type="dxa" w:w="1350"/>
            <w:shd w:fill="1F4E79"/>
          </w:tcPr>
          <w:p>
            <w:r>
              <w:rPr>
                <w:b/>
                <w:sz w:val="16"/>
              </w:rPr>
              <w:t>lane_id</w:t>
            </w:r>
          </w:p>
        </w:tc>
        <w:tc>
          <w:tcPr>
            <w:tcW w:type="dxa" w:w="1350"/>
            <w:shd w:fill="1F4E79"/>
          </w:tcPr>
          <w:p>
            <w:r>
              <w:rPr>
                <w:b/>
                <w:sz w:val="16"/>
              </w:rPr>
              <w:t>station</w:t>
            </w:r>
          </w:p>
        </w:tc>
        <w:tc>
          <w:tcPr>
            <w:tcW w:type="dxa" w:w="1350"/>
            <w:shd w:fill="1F4E79"/>
          </w:tcPr>
          <w:p>
            <w:r>
              <w:rPr>
                <w:b/>
                <w:sz w:val="16"/>
              </w:rPr>
              <w:t>note_type</w:t>
            </w:r>
          </w:p>
        </w:tc>
        <w:tc>
          <w:tcPr>
            <w:tcW w:type="dxa" w:w="1350"/>
            <w:shd w:fill="1F4E79"/>
          </w:tcPr>
          <w:p>
            <w:r>
              <w:rPr>
                <w:b/>
                <w:sz w:val="16"/>
              </w:rPr>
              <w:t>inspection_text</w:t>
            </w:r>
          </w:p>
        </w:tc>
        <w:tc>
          <w:tcPr>
            <w:tcW w:type="dxa" w:w="1350"/>
            <w:shd w:fill="1F4E79"/>
          </w:tcPr>
          <w:p>
            <w:r>
              <w:rPr>
                <w:b/>
                <w:sz w:val="16"/>
              </w:rPr>
              <w:t>unit</w:t>
            </w:r>
          </w:p>
        </w:tc>
        <w:tc>
          <w:tcPr>
            <w:tcW w:type="dxa" w:w="1350"/>
            <w:shd w:fill="1F4E79"/>
          </w:tcPr>
          <w:p>
            <w:r>
              <w:rPr>
                <w:b/>
                <w:sz w:val="16"/>
              </w:rPr>
              <w:t>status_hint</w:t>
            </w:r>
          </w:p>
        </w:tc>
      </w:tr>
      <w:tr>
        <w:tc>
          <w:tcPr>
            <w:tcW w:type="dxa" w:w="1350"/>
            <w:vAlign w:val="top"/>
          </w:tcPr>
          <w:p>
            <w:r>
              <w:rPr>
                <w:sz w:val="16"/>
              </w:rPr>
              <w:t>IN-001</w:t>
            </w:r>
          </w:p>
        </w:tc>
        <w:tc>
          <w:tcPr>
            <w:tcW w:type="dxa" w:w="1350"/>
            <w:vAlign w:val="top"/>
          </w:tcPr>
          <w:p>
            <w:r>
              <w:rPr>
                <w:sz w:val="16"/>
              </w:rPr>
              <w:t>S1</w:t>
            </w:r>
          </w:p>
        </w:tc>
        <w:tc>
          <w:tcPr>
            <w:tcW w:type="dxa" w:w="1350"/>
            <w:vAlign w:val="top"/>
          </w:tcPr>
          <w:p>
            <w:r>
              <w:rPr>
                <w:sz w:val="16"/>
              </w:rPr>
              <w:t>EB</w:t>
            </w:r>
          </w:p>
        </w:tc>
        <w:tc>
          <w:tcPr>
            <w:tcW w:type="dxa" w:w="1350"/>
            <w:vAlign w:val="top"/>
          </w:tcPr>
          <w:p>
            <w:r>
              <w:rPr>
                <w:sz w:val="16"/>
              </w:rPr>
              <w:t>0+020</w:t>
            </w:r>
          </w:p>
        </w:tc>
        <w:tc>
          <w:tcPr>
            <w:tcW w:type="dxa" w:w="1350"/>
            <w:vAlign w:val="top"/>
          </w:tcPr>
          <w:p>
            <w:r>
              <w:rPr>
                <w:sz w:val="16"/>
              </w:rPr>
              <w:t>deck_patch</w:t>
            </w:r>
          </w:p>
        </w:tc>
        <w:tc>
          <w:tcPr>
            <w:tcW w:type="dxa" w:w="1350"/>
            <w:vAlign w:val="top"/>
          </w:tcPr>
          <w:p>
            <w:r>
              <w:rPr>
                <w:sz w:val="16"/>
              </w:rPr>
              <w:t>Patch edges sawcut clean at Span 1 eastbound lane.</w:t>
            </w:r>
          </w:p>
        </w:tc>
        <w:tc>
          <w:tcPr>
            <w:tcW w:type="dxa" w:w="1350"/>
            <w:vAlign w:val="top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1350"/>
            <w:vAlign w:val="top"/>
          </w:tcPr>
          <w:p>
            <w:r>
              <w:rPr>
                <w:sz w:val="16"/>
              </w:rPr>
              <w:t>TEXT_ONLY</w:t>
            </w:r>
          </w:p>
        </w:tc>
      </w:tr>
      <w:tr>
        <w:tc>
          <w:tcPr>
            <w:tcW w:type="dxa" w:w="1350"/>
            <w:vAlign w:val="top"/>
          </w:tcPr>
          <w:p>
            <w:r>
              <w:rPr>
                <w:sz w:val="16"/>
              </w:rPr>
              <w:t>IN-002</w:t>
            </w:r>
          </w:p>
        </w:tc>
        <w:tc>
          <w:tcPr>
            <w:tcW w:type="dxa" w:w="1350"/>
            <w:vAlign w:val="top"/>
          </w:tcPr>
          <w:p>
            <w:r>
              <w:rPr>
                <w:sz w:val="16"/>
              </w:rPr>
              <w:t>S1</w:t>
            </w:r>
          </w:p>
        </w:tc>
        <w:tc>
          <w:tcPr>
            <w:tcW w:type="dxa" w:w="1350"/>
            <w:vAlign w:val="top"/>
          </w:tcPr>
          <w:p>
            <w:r>
              <w:rPr>
                <w:sz w:val="16"/>
              </w:rPr>
              <w:t>WB</w:t>
            </w:r>
          </w:p>
        </w:tc>
        <w:tc>
          <w:tcPr>
            <w:tcW w:type="dxa" w:w="1350"/>
            <w:vAlign w:val="top"/>
          </w:tcPr>
          <w:p>
            <w:r>
              <w:rPr>
                <w:sz w:val="16"/>
              </w:rPr>
              <w:t>0+044</w:t>
            </w:r>
          </w:p>
        </w:tc>
        <w:tc>
          <w:tcPr>
            <w:tcW w:type="dxa" w:w="1350"/>
            <w:vAlign w:val="top"/>
          </w:tcPr>
          <w:p>
            <w:r>
              <w:rPr>
                <w:sz w:val="16"/>
              </w:rPr>
              <w:t>joint_seal</w:t>
            </w:r>
          </w:p>
        </w:tc>
        <w:tc>
          <w:tcPr>
            <w:tcW w:type="dxa" w:w="1350"/>
            <w:vAlign w:val="top"/>
          </w:tcPr>
          <w:p>
            <w:r>
              <w:rPr>
                <w:sz w:val="16"/>
              </w:rPr>
              <w:t>Sealant bead torn at east curb return before final tooling.</w:t>
            </w:r>
          </w:p>
        </w:tc>
        <w:tc>
          <w:tcPr>
            <w:tcW w:type="dxa" w:w="1350"/>
            <w:vAlign w:val="top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1350"/>
            <w:vAlign w:val="top"/>
          </w:tcPr>
          <w:p>
            <w:r>
              <w:rPr>
                <w:sz w:val="16"/>
              </w:rPr>
              <w:t>TEXT_ONLY</w:t>
            </w:r>
          </w:p>
        </w:tc>
      </w:tr>
      <w:tr>
        <w:tc>
          <w:tcPr>
            <w:tcW w:type="dxa" w:w="1350"/>
            <w:vAlign w:val="top"/>
          </w:tcPr>
          <w:p>
            <w:r>
              <w:rPr>
                <w:sz w:val="16"/>
              </w:rPr>
              <w:t>IN-003</w:t>
            </w:r>
          </w:p>
        </w:tc>
        <w:tc>
          <w:tcPr>
            <w:tcW w:type="dxa" w:w="1350"/>
            <w:vAlign w:val="top"/>
          </w:tcPr>
          <w:p>
            <w:r>
              <w:rPr>
                <w:sz w:val="16"/>
              </w:rPr>
              <w:t>S2</w:t>
            </w:r>
          </w:p>
        </w:tc>
        <w:tc>
          <w:tcPr>
            <w:tcW w:type="dxa" w:w="1350"/>
            <w:vAlign w:val="top"/>
          </w:tcPr>
          <w:p>
            <w:r>
              <w:rPr>
                <w:sz w:val="16"/>
              </w:rPr>
              <w:t>EB</w:t>
            </w:r>
          </w:p>
        </w:tc>
        <w:tc>
          <w:tcPr>
            <w:tcW w:type="dxa" w:w="1350"/>
            <w:vAlign w:val="top"/>
          </w:tcPr>
          <w:p>
            <w:r>
              <w:rPr>
                <w:sz w:val="16"/>
              </w:rPr>
              <w:t>0+072</w:t>
            </w:r>
          </w:p>
        </w:tc>
        <w:tc>
          <w:tcPr>
            <w:tcW w:type="dxa" w:w="1350"/>
            <w:vAlign w:val="top"/>
          </w:tcPr>
          <w:p>
            <w:r>
              <w:rPr>
                <w:sz w:val="16"/>
              </w:rPr>
              <w:t>rebar</w:t>
            </w:r>
          </w:p>
        </w:tc>
        <w:tc>
          <w:tcPr>
            <w:tcW w:type="dxa" w:w="1350"/>
            <w:vAlign w:val="top"/>
          </w:tcPr>
          <w:p>
            <w:r>
              <w:rPr>
                <w:sz w:val="16"/>
              </w:rPr>
              <w:t>Supplemental #20 bar bundle placed beside patch Z-C.</w:t>
            </w:r>
          </w:p>
        </w:tc>
        <w:tc>
          <w:tcPr>
            <w:tcW w:type="dxa" w:w="1350"/>
            <w:vAlign w:val="top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1350"/>
            <w:vAlign w:val="top"/>
          </w:tcPr>
          <w:p>
            <w:r>
              <w:rPr>
                <w:sz w:val="16"/>
              </w:rPr>
              <w:t>TEXT_ONLY</w:t>
            </w:r>
          </w:p>
        </w:tc>
      </w:tr>
      <w:tr>
        <w:tc>
          <w:tcPr>
            <w:tcW w:type="dxa" w:w="1350"/>
            <w:vAlign w:val="top"/>
          </w:tcPr>
          <w:p>
            <w:r>
              <w:rPr>
                <w:sz w:val="16"/>
              </w:rPr>
              <w:t>IN-004</w:t>
            </w:r>
          </w:p>
        </w:tc>
        <w:tc>
          <w:tcPr>
            <w:tcW w:type="dxa" w:w="1350"/>
            <w:vAlign w:val="top"/>
          </w:tcPr>
          <w:p>
            <w:r>
              <w:rPr>
                <w:sz w:val="16"/>
              </w:rPr>
              <w:t>S2</w:t>
            </w:r>
          </w:p>
        </w:tc>
        <w:tc>
          <w:tcPr>
            <w:tcW w:type="dxa" w:w="1350"/>
            <w:vAlign w:val="top"/>
          </w:tcPr>
          <w:p>
            <w:r>
              <w:rPr>
                <w:sz w:val="16"/>
              </w:rPr>
              <w:t>WB</w:t>
            </w:r>
          </w:p>
        </w:tc>
        <w:tc>
          <w:tcPr>
            <w:tcW w:type="dxa" w:w="1350"/>
            <w:vAlign w:val="top"/>
          </w:tcPr>
          <w:p>
            <w:r>
              <w:rPr>
                <w:sz w:val="16"/>
              </w:rPr>
              <w:t>0+104</w:t>
            </w:r>
          </w:p>
        </w:tc>
        <w:tc>
          <w:tcPr>
            <w:tcW w:type="dxa" w:w="1350"/>
            <w:vAlign w:val="top"/>
          </w:tcPr>
          <w:p>
            <w:r>
              <w:rPr>
                <w:sz w:val="16"/>
              </w:rPr>
              <w:t>survey</w:t>
            </w:r>
          </w:p>
        </w:tc>
        <w:tc>
          <w:tcPr>
            <w:tcW w:type="dxa" w:w="1350"/>
            <w:vAlign w:val="top"/>
          </w:tcPr>
          <w:p>
            <w:r>
              <w:rPr>
                <w:sz w:val="16"/>
              </w:rPr>
              <w:t>Deck high point re-shot after grinding pass.</w:t>
            </w:r>
          </w:p>
        </w:tc>
        <w:tc>
          <w:tcPr>
            <w:tcW w:type="dxa" w:w="1350"/>
            <w:vAlign w:val="top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1350"/>
            <w:vAlign w:val="top"/>
          </w:tcPr>
          <w:p>
            <w:r>
              <w:rPr>
                <w:sz w:val="16"/>
              </w:rPr>
              <w:t>TEXT_ONLY</w:t>
            </w:r>
          </w:p>
        </w:tc>
      </w:tr>
      <w:tr>
        <w:tc>
          <w:tcPr>
            <w:tcW w:type="dxa" w:w="1350"/>
            <w:vAlign w:val="top"/>
          </w:tcPr>
          <w:p>
            <w:r>
              <w:rPr>
                <w:sz w:val="16"/>
              </w:rPr>
              <w:t>IN-005</w:t>
            </w:r>
          </w:p>
        </w:tc>
        <w:tc>
          <w:tcPr>
            <w:tcW w:type="dxa" w:w="1350"/>
            <w:vAlign w:val="top"/>
          </w:tcPr>
          <w:p>
            <w:r>
              <w:rPr>
                <w:sz w:val="16"/>
              </w:rPr>
              <w:t>A2</w:t>
            </w:r>
          </w:p>
        </w:tc>
        <w:tc>
          <w:tcPr>
            <w:tcW w:type="dxa" w:w="1350"/>
            <w:vAlign w:val="top"/>
          </w:tcPr>
          <w:p>
            <w:r>
              <w:rPr>
                <w:sz w:val="16"/>
              </w:rPr>
              <w:t>EB</w:t>
            </w:r>
          </w:p>
        </w:tc>
        <w:tc>
          <w:tcPr>
            <w:tcW w:type="dxa" w:w="1350"/>
            <w:vAlign w:val="top"/>
          </w:tcPr>
          <w:p>
            <w:r>
              <w:rPr>
                <w:sz w:val="16"/>
              </w:rPr>
              <w:t>0+118</w:t>
            </w:r>
          </w:p>
        </w:tc>
        <w:tc>
          <w:tcPr>
            <w:tcW w:type="dxa" w:w="1350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1350"/>
            <w:vAlign w:val="top"/>
          </w:tcPr>
          <w:p>
            <w:r>
              <w:rPr>
                <w:sz w:val="16"/>
              </w:rPr>
              <w:t>Approach slab broom finish note entered without note type.</w:t>
            </w:r>
          </w:p>
        </w:tc>
        <w:tc>
          <w:tcPr>
            <w:tcW w:type="dxa" w:w="1350"/>
            <w:vAlign w:val="top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1350"/>
            <w:vAlign w:val="top"/>
          </w:tcPr>
          <w:p>
            <w:r>
              <w:rPr>
                <w:sz w:val="16"/>
              </w:rPr>
              <w:t>MISSING note_type</w:t>
            </w:r>
          </w:p>
        </w:tc>
      </w:tr>
    </w:tbl>
    <w:p/>
    <w:p>
      <w:r>
        <w:rPr>
          <w:b/>
          <w:sz w:val="20"/>
        </w:rPr>
        <w:t>Closeout_Log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  <w:shd w:fill="1F4E79"/>
          </w:tcPr>
          <w:p>
            <w:r>
              <w:rPr>
                <w:b/>
                <w:sz w:val="16"/>
              </w:rPr>
              <w:t>record_id</w:t>
            </w:r>
          </w:p>
        </w:tc>
        <w:tc>
          <w:tcPr>
            <w:tcW w:type="dxa" w:w="1200"/>
            <w:shd w:fill="1F4E79"/>
          </w:tcPr>
          <w:p>
            <w:r>
              <w:rPr>
                <w:b/>
                <w:sz w:val="16"/>
              </w:rPr>
              <w:t>category</w:t>
            </w:r>
          </w:p>
        </w:tc>
        <w:tc>
          <w:tcPr>
            <w:tcW w:type="dxa" w:w="1200"/>
            <w:shd w:fill="1F4E79"/>
          </w:tcPr>
          <w:p>
            <w:r>
              <w:rPr>
                <w:b/>
                <w:sz w:val="16"/>
              </w:rPr>
              <w:t>span_or_lane</w:t>
            </w:r>
          </w:p>
        </w:tc>
        <w:tc>
          <w:tcPr>
            <w:tcW w:type="dxa" w:w="1200"/>
            <w:shd w:fill="1F4E79"/>
          </w:tcPr>
          <w:p>
            <w:r>
              <w:rPr>
                <w:b/>
                <w:sz w:val="16"/>
              </w:rPr>
              <w:t>station_range</w:t>
            </w:r>
          </w:p>
        </w:tc>
        <w:tc>
          <w:tcPr>
            <w:tcW w:type="dxa" w:w="1200"/>
            <w:shd w:fill="1F4E79"/>
          </w:tcPr>
          <w:p>
            <w:r>
              <w:rPr>
                <w:b/>
                <w:sz w:val="16"/>
              </w:rPr>
              <w:t>field_name</w:t>
            </w:r>
          </w:p>
        </w:tc>
        <w:tc>
          <w:tcPr>
            <w:tcW w:type="dxa" w:w="1200"/>
            <w:shd w:fill="1F4E79"/>
          </w:tcPr>
          <w:p>
            <w:r>
              <w:rPr>
                <w:b/>
                <w:sz w:val="16"/>
              </w:rPr>
              <w:t>field_value</w:t>
            </w:r>
          </w:p>
        </w:tc>
        <w:tc>
          <w:tcPr>
            <w:tcW w:type="dxa" w:w="1200"/>
            <w:shd w:fill="1F4E79"/>
          </w:tcPr>
          <w:p>
            <w:r>
              <w:rPr>
                <w:b/>
                <w:sz w:val="16"/>
              </w:rPr>
              <w:t>unit</w:t>
            </w:r>
          </w:p>
        </w:tc>
        <w:tc>
          <w:tcPr>
            <w:tcW w:type="dxa" w:w="1200"/>
            <w:shd w:fill="1F4E79"/>
          </w:tcPr>
          <w:p>
            <w:r>
              <w:rPr>
                <w:b/>
                <w:sz w:val="16"/>
              </w:rPr>
              <w:t>status_hint</w:t>
            </w:r>
          </w:p>
        </w:tc>
        <w:tc>
          <w:tcPr>
            <w:tcW w:type="dxa" w:w="1200"/>
            <w:shd w:fill="1F4E79"/>
          </w:tcPr>
          <w:p>
            <w:r>
              <w:rPr>
                <w:b/>
                <w:sz w:val="16"/>
              </w:rPr>
              <w:t>related_record</w:t>
            </w:r>
          </w:p>
        </w:tc>
      </w:tr>
      <w:tr>
        <w:tc>
          <w:tcPr>
            <w:tcW w:type="dxa" w:w="1200"/>
            <w:vAlign w:val="top"/>
          </w:tcPr>
          <w:p>
            <w:r>
              <w:rPr>
                <w:sz w:val="16"/>
              </w:rPr>
              <w:t>CL-001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6"/>
              </w:rPr>
              <w:t>quantity_packet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6"/>
              </w:rPr>
              <w:t>BR-32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6"/>
              </w:rPr>
              <w:t>0+000 to 0+128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6"/>
              </w:rPr>
              <w:t>closeout_reference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1200"/>
            <w:vAlign w:val="top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6"/>
              </w:rPr>
              <w:t>MISSING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6"/>
              </w:rPr>
              <w:t>PS-001</w:t>
            </w:r>
          </w:p>
        </w:tc>
      </w:tr>
      <w:tr>
        <w:tc>
          <w:tcPr>
            <w:tcW w:type="dxa" w:w="1200"/>
            <w:vAlign w:val="top"/>
          </w:tcPr>
          <w:p>
            <w:r>
              <w:rPr>
                <w:sz w:val="16"/>
              </w:rPr>
              <w:t>CL-002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6"/>
              </w:rPr>
              <w:t>material_test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6"/>
              </w:rPr>
              <w:t>A2 EB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6"/>
              </w:rPr>
              <w:t>0+112 to 0+128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6"/>
              </w:rPr>
              <w:t>test_report_id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1200"/>
            <w:vAlign w:val="top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6"/>
              </w:rPr>
              <w:t>MISSING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6"/>
              </w:rPr>
              <w:t>MT-002</w:t>
            </w:r>
          </w:p>
        </w:tc>
      </w:tr>
      <w:tr>
        <w:tc>
          <w:tcPr>
            <w:tcW w:type="dxa" w:w="1200"/>
            <w:vAlign w:val="top"/>
          </w:tcPr>
          <w:p>
            <w:r>
              <w:rPr>
                <w:sz w:val="16"/>
              </w:rPr>
              <w:t>CL-003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6"/>
              </w:rPr>
              <w:t>survey_packet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6"/>
              </w:rPr>
              <w:t>S2 WB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6"/>
              </w:rPr>
              <w:t>0+084 to 0+108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6"/>
              </w:rPr>
              <w:t>surveyor_initials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6"/>
              </w:rPr>
              <w:t>JR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6"/>
              </w:rPr>
              <w:t>TEXT_ONLY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6"/>
              </w:rPr>
              <w:t>SV-003</w:t>
            </w:r>
          </w:p>
        </w:tc>
      </w:tr>
      <w:tr>
        <w:tc>
          <w:tcPr>
            <w:tcW w:type="dxa" w:w="1200"/>
            <w:vAlign w:val="top"/>
          </w:tcPr>
          <w:p>
            <w:r>
              <w:rPr>
                <w:sz w:val="16"/>
              </w:rPr>
              <w:t>CL-004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6"/>
              </w:rPr>
              <w:t>handover_status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6"/>
              </w:rPr>
              <w:t>BR-32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6"/>
              </w:rPr>
              <w:t>0+000 to 0+128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6"/>
              </w:rPr>
              <w:t>status_text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6"/>
              </w:rPr>
              <w:t>not signed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6"/>
              </w:rPr>
              <w:t>TEXT_ONLY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6"/>
              </w:rPr>
              <w:t>PR-003</w:t>
            </w:r>
          </w:p>
        </w:tc>
      </w:tr>
      <w:tr>
        <w:tc>
          <w:tcPr>
            <w:tcW w:type="dxa" w:w="1200"/>
            <w:vAlign w:val="top"/>
          </w:tcPr>
          <w:p>
            <w:r>
              <w:rPr>
                <w:sz w:val="16"/>
              </w:rPr>
              <w:t>CL-001-DUP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6"/>
              </w:rPr>
              <w:t>quantity_packet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6"/>
              </w:rPr>
              <w:t>BR-32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6"/>
              </w:rPr>
              <w:t>0+000 to 0+128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6"/>
              </w:rPr>
              <w:t>closeout_reference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6"/>
              </w:rPr>
            </w:r>
          </w:p>
        </w:tc>
        <w:tc>
          <w:tcPr>
            <w:tcW w:type="dxa" w:w="1200"/>
            <w:vAlign w:val="top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6"/>
              </w:rPr>
              <w:t>DUPLICATE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6"/>
              </w:rPr>
              <w:t>CL-001</w:t>
            </w:r>
          </w:p>
        </w:tc>
      </w:tr>
    </w:tbl>
    <w:p/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