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Briarwood Avenue Drainage Upgrade</w:t>
        <w:br/>
        <w:t>Storm Event Record and Field Photo Log</w:t>
      </w:r>
    </w:p>
    <w:p>
      <w:pPr>
        <w:jc w:val="center"/>
      </w:pPr>
      <w:r>
        <w:rPr>
          <w:sz w:val="20"/>
        </w:rPr>
        <w:t>Document BA-DGN-FLD-009 | Revision B | Issued 20 May 2026</w:t>
      </w:r>
    </w:p>
    <w:p>
      <w:r>
        <w:t>This record summarises field observations after the 14 May 2026 flooding complaint. It is intended to support hydrology and hydraulic reconciliation only. Design calculations must use the authority hierarchy issued with the project package.</w:t>
      </w:r>
    </w:p>
    <w:p>
      <w:pPr>
        <w:pStyle w:val="Heading1"/>
      </w:pPr>
      <w:r>
        <w:t>1. Event summary</w:t>
      </w:r>
    </w:p>
    <w:tbl>
      <w:tblPr>
        <w:tblStyle w:val="TableGrid"/>
        <w:tblW w:type="auto" w:w="0"/>
        <w:jc w:val="center"/>
        <w:tblLook w:firstColumn="1" w:firstRow="1" w:lastColumn="0" w:lastRow="0" w:noHBand="0" w:noVBand="1" w:val="04A0"/>
      </w:tblPr>
      <w:tblGrid>
        <w:gridCol w:w="5184"/>
        <w:gridCol w:w="5184"/>
      </w:tblGrid>
      <w:tr>
        <w:tc>
          <w:tcPr>
            <w:tcW w:type="dxa" w:w="3312"/>
            <w:shd w:fill="1F4E79"/>
            <w:vAlign w:val="center"/>
          </w:tcPr>
          <w:p>
            <w:r/>
            <w:r>
              <w:rPr>
                <w:b/>
                <w:color w:val="FFFFFF"/>
                <w:sz w:val="17"/>
              </w:rPr>
              <w:t>Item</w:t>
            </w:r>
          </w:p>
        </w:tc>
        <w:tc>
          <w:tcPr>
            <w:tcW w:type="dxa" w:w="6912"/>
            <w:shd w:fill="1F4E79"/>
            <w:vAlign w:val="center"/>
          </w:tcPr>
          <w:p>
            <w:r/>
            <w:r>
              <w:rPr>
                <w:b/>
                <w:color w:val="FFFFFF"/>
                <w:sz w:val="17"/>
              </w:rPr>
              <w:t>Record</w:t>
            </w:r>
          </w:p>
        </w:tc>
      </w:tr>
      <w:tr>
        <w:tc>
          <w:tcPr>
            <w:tcW w:type="dxa" w:w="3312"/>
            <w:vAlign w:val="top"/>
          </w:tcPr>
          <w:p>
            <w:r/>
            <w:r>
              <w:rPr>
                <w:b w:val="0"/>
                <w:sz w:val="17"/>
              </w:rPr>
              <w:t>Event date</w:t>
            </w:r>
          </w:p>
        </w:tc>
        <w:tc>
          <w:tcPr>
            <w:tcW w:type="dxa" w:w="6912"/>
            <w:vAlign w:val="top"/>
          </w:tcPr>
          <w:p>
            <w:r/>
            <w:r>
              <w:rPr>
                <w:b w:val="0"/>
                <w:sz w:val="17"/>
              </w:rPr>
              <w:t>14 May 2026</w:t>
            </w:r>
          </w:p>
        </w:tc>
      </w:tr>
      <w:tr>
        <w:tc>
          <w:tcPr>
            <w:tcW w:type="dxa" w:w="3312"/>
            <w:vAlign w:val="top"/>
          </w:tcPr>
          <w:p>
            <w:r/>
            <w:r>
              <w:rPr>
                <w:b w:val="0"/>
                <w:sz w:val="17"/>
              </w:rPr>
              <w:t>Reported flooding window</w:t>
            </w:r>
          </w:p>
        </w:tc>
        <w:tc>
          <w:tcPr>
            <w:tcW w:type="dxa" w:w="6912"/>
            <w:vAlign w:val="top"/>
          </w:tcPr>
          <w:p>
            <w:r/>
            <w:r>
              <w:rPr>
                <w:b w:val="0"/>
                <w:sz w:val="17"/>
              </w:rPr>
              <w:t>17:35 to 18:15 local time</w:t>
            </w:r>
          </w:p>
        </w:tc>
      </w:tr>
      <w:tr>
        <w:tc>
          <w:tcPr>
            <w:tcW w:type="dxa" w:w="3312"/>
            <w:vAlign w:val="top"/>
          </w:tcPr>
          <w:p>
            <w:r/>
            <w:r>
              <w:rPr>
                <w:b w:val="0"/>
                <w:sz w:val="17"/>
              </w:rPr>
              <w:t>Reported location</w:t>
            </w:r>
          </w:p>
        </w:tc>
        <w:tc>
          <w:tcPr>
            <w:tcW w:type="dxa" w:w="6912"/>
            <w:vAlign w:val="top"/>
          </w:tcPr>
          <w:p>
            <w:r/>
            <w:r>
              <w:rPr>
                <w:b w:val="0"/>
                <w:sz w:val="17"/>
              </w:rPr>
              <w:t>Briarwood Avenue sag between Sta. 0+185 and Sta. 0+235</w:t>
            </w:r>
          </w:p>
        </w:tc>
      </w:tr>
      <w:tr>
        <w:tc>
          <w:tcPr>
            <w:tcW w:type="dxa" w:w="3312"/>
            <w:vAlign w:val="top"/>
          </w:tcPr>
          <w:p>
            <w:r/>
            <w:r>
              <w:rPr>
                <w:b w:val="0"/>
                <w:sz w:val="17"/>
              </w:rPr>
              <w:t>Primary concern</w:t>
            </w:r>
          </w:p>
        </w:tc>
        <w:tc>
          <w:tcPr>
            <w:tcW w:type="dxa" w:w="6912"/>
            <w:vAlign w:val="top"/>
          </w:tcPr>
          <w:p>
            <w:r/>
            <w:r>
              <w:rPr>
                <w:b w:val="0"/>
                <w:sz w:val="17"/>
              </w:rPr>
              <w:t>Outside lane ponding and surcharge at MH-4 during high-intensity rainfall</w:t>
            </w:r>
          </w:p>
        </w:tc>
      </w:tr>
      <w:tr>
        <w:tc>
          <w:tcPr>
            <w:tcW w:type="dxa" w:w="3312"/>
            <w:vAlign w:val="top"/>
          </w:tcPr>
          <w:p>
            <w:r/>
            <w:r>
              <w:rPr>
                <w:b w:val="0"/>
                <w:sz w:val="17"/>
              </w:rPr>
              <w:t>Governing design event to rebuild</w:t>
            </w:r>
          </w:p>
        </w:tc>
        <w:tc>
          <w:tcPr>
            <w:tcW w:type="dxa" w:w="6912"/>
            <w:vAlign w:val="top"/>
          </w:tcPr>
          <w:p>
            <w:r/>
            <w:r>
              <w:rPr>
                <w:b w:val="0"/>
                <w:sz w:val="17"/>
              </w:rPr>
              <w:t>25-year, 15-minute storm per authority hierarchy and public PFDS lookup instruction</w:t>
            </w:r>
          </w:p>
        </w:tc>
      </w:tr>
      <w:tr>
        <w:tc>
          <w:tcPr>
            <w:tcW w:type="dxa" w:w="3312"/>
            <w:vAlign w:val="top"/>
          </w:tcPr>
          <w:p>
            <w:r/>
            <w:r>
              <w:rPr>
                <w:b w:val="0"/>
                <w:sz w:val="17"/>
              </w:rPr>
              <w:t>Provisional tailwater mark</w:t>
            </w:r>
          </w:p>
        </w:tc>
        <w:tc>
          <w:tcPr>
            <w:tcW w:type="dxa" w:w="6912"/>
            <w:vAlign w:val="top"/>
          </w:tcPr>
          <w:p>
            <w:r/>
            <w:r>
              <w:rPr>
                <w:b w:val="0"/>
                <w:sz w:val="17"/>
              </w:rPr>
              <w:t>83.05 m BWD 2026 at C-01 outlet staff mark; requires survey confirmation before final design</w:t>
            </w:r>
          </w:p>
        </w:tc>
      </w:tr>
    </w:tbl>
    <w:p>
      <w:pPr>
        <w:pStyle w:val="Heading1"/>
      </w:pPr>
      <w:r>
        <w:t>2. Field photo log and interpretation</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F4E79"/>
            <w:vAlign w:val="center"/>
          </w:tcPr>
          <w:p>
            <w:r/>
            <w:r>
              <w:rPr>
                <w:b/>
                <w:color w:val="FFFFFF"/>
                <w:sz w:val="17"/>
              </w:rPr>
              <w:t>Photo ID</w:t>
            </w:r>
          </w:p>
        </w:tc>
        <w:tc>
          <w:tcPr>
            <w:tcW w:type="dxa" w:w="2304"/>
            <w:shd w:fill="1F4E79"/>
            <w:vAlign w:val="center"/>
          </w:tcPr>
          <w:p>
            <w:r/>
            <w:r>
              <w:rPr>
                <w:b/>
                <w:color w:val="FFFFFF"/>
                <w:sz w:val="17"/>
              </w:rPr>
              <w:t>Location</w:t>
            </w:r>
          </w:p>
        </w:tc>
        <w:tc>
          <w:tcPr>
            <w:tcW w:type="dxa" w:w="6768"/>
            <w:shd w:fill="1F4E79"/>
            <w:vAlign w:val="center"/>
          </w:tcPr>
          <w:p>
            <w:r/>
            <w:r>
              <w:rPr>
                <w:b/>
                <w:color w:val="FFFFFF"/>
                <w:sz w:val="17"/>
              </w:rPr>
              <w:t>Design relevance</w:t>
            </w:r>
          </w:p>
        </w:tc>
      </w:tr>
      <w:tr>
        <w:tc>
          <w:tcPr>
            <w:tcW w:type="dxa" w:w="1152"/>
            <w:vAlign w:val="top"/>
          </w:tcPr>
          <w:p>
            <w:r/>
            <w:r>
              <w:rPr>
                <w:b w:val="0"/>
                <w:sz w:val="17"/>
              </w:rPr>
              <w:t>P-01</w:t>
            </w:r>
          </w:p>
        </w:tc>
        <w:tc>
          <w:tcPr>
            <w:tcW w:type="dxa" w:w="2304"/>
            <w:vAlign w:val="top"/>
          </w:tcPr>
          <w:p>
            <w:r/>
            <w:r>
              <w:rPr>
                <w:b w:val="0"/>
                <w:sz w:val="17"/>
              </w:rPr>
              <w:t>Sta. 0+210, north gutter</w:t>
            </w:r>
          </w:p>
        </w:tc>
        <w:tc>
          <w:tcPr>
            <w:tcW w:type="dxa" w:w="6768"/>
            <w:vAlign w:val="top"/>
          </w:tcPr>
          <w:p>
            <w:r/>
            <w:r>
              <w:rPr>
                <w:b w:val="0"/>
                <w:sz w:val="17"/>
              </w:rPr>
              <w:t>Ponding width measured from curb face was approximately 2.2 m at peak observation. Use workbook calculation for final gutter-spread result.</w:t>
            </w:r>
          </w:p>
        </w:tc>
      </w:tr>
      <w:tr>
        <w:tc>
          <w:tcPr>
            <w:tcW w:type="dxa" w:w="1152"/>
            <w:vAlign w:val="top"/>
          </w:tcPr>
          <w:p>
            <w:r/>
            <w:r>
              <w:rPr>
                <w:b w:val="0"/>
                <w:sz w:val="17"/>
              </w:rPr>
              <w:t>P-03</w:t>
            </w:r>
          </w:p>
        </w:tc>
        <w:tc>
          <w:tcPr>
            <w:tcW w:type="dxa" w:w="2304"/>
            <w:vAlign w:val="top"/>
          </w:tcPr>
          <w:p>
            <w:r/>
            <w:r>
              <w:rPr>
                <w:b w:val="0"/>
                <w:sz w:val="17"/>
              </w:rPr>
              <w:t>East apron curb line</w:t>
            </w:r>
          </w:p>
        </w:tc>
        <w:tc>
          <w:tcPr>
            <w:tcW w:type="dxa" w:w="6768"/>
            <w:vAlign w:val="top"/>
          </w:tcPr>
          <w:p>
            <w:r/>
            <w:r>
              <w:rPr>
                <w:b w:val="0"/>
                <w:sz w:val="17"/>
              </w:rPr>
              <w:t>2025 curb works divert east apron runoff to Cedar Lane. C-06 should not be included in Briarwood contributing area.</w:t>
            </w:r>
          </w:p>
        </w:tc>
      </w:tr>
      <w:tr>
        <w:tc>
          <w:tcPr>
            <w:tcW w:type="dxa" w:w="1152"/>
            <w:vAlign w:val="top"/>
          </w:tcPr>
          <w:p>
            <w:r/>
            <w:r>
              <w:rPr>
                <w:b w:val="0"/>
                <w:sz w:val="17"/>
              </w:rPr>
              <w:t>P-07</w:t>
            </w:r>
          </w:p>
        </w:tc>
        <w:tc>
          <w:tcPr>
            <w:tcW w:type="dxa" w:w="2304"/>
            <w:vAlign w:val="top"/>
          </w:tcPr>
          <w:p>
            <w:r/>
            <w:r>
              <w:rPr>
                <w:b w:val="0"/>
                <w:sz w:val="17"/>
              </w:rPr>
              <w:t>Contractor yard surface</w:t>
            </w:r>
          </w:p>
        </w:tc>
        <w:tc>
          <w:tcPr>
            <w:tcW w:type="dxa" w:w="6768"/>
            <w:vAlign w:val="top"/>
          </w:tcPr>
          <w:p>
            <w:r/>
            <w:r>
              <w:rPr>
                <w:b w:val="0"/>
                <w:sz w:val="17"/>
              </w:rPr>
              <w:t>Surface is compacted gravel; use runoff coefficient 0.70 unless later paving evidence is supplied.</w:t>
            </w:r>
          </w:p>
        </w:tc>
      </w:tr>
      <w:tr>
        <w:tc>
          <w:tcPr>
            <w:tcW w:type="dxa" w:w="1152"/>
            <w:vAlign w:val="top"/>
          </w:tcPr>
          <w:p>
            <w:r/>
            <w:r>
              <w:rPr>
                <w:b w:val="0"/>
                <w:sz w:val="17"/>
              </w:rPr>
              <w:t>P-09</w:t>
            </w:r>
          </w:p>
        </w:tc>
        <w:tc>
          <w:tcPr>
            <w:tcW w:type="dxa" w:w="2304"/>
            <w:vAlign w:val="top"/>
          </w:tcPr>
          <w:p>
            <w:r/>
            <w:r>
              <w:rPr>
                <w:b w:val="0"/>
                <w:sz w:val="17"/>
              </w:rPr>
              <w:t>C-01 outlet</w:t>
            </w:r>
          </w:p>
        </w:tc>
        <w:tc>
          <w:tcPr>
            <w:tcW w:type="dxa" w:w="6768"/>
            <w:vAlign w:val="top"/>
          </w:tcPr>
          <w:p>
            <w:r/>
            <w:r>
              <w:rPr>
                <w:b w:val="0"/>
                <w:sz w:val="17"/>
              </w:rPr>
              <w:t>Outlet was partly submerged and the barrel could not be confirmed visually. Use Rev D as-built box culvert geometry and keep CCTV confirmation open.</w:t>
            </w:r>
          </w:p>
        </w:tc>
      </w:tr>
    </w:tbl>
    <w:p>
      <w:r>
        <w:drawing>
          <wp:inline xmlns:a="http://schemas.openxmlformats.org/drawingml/2006/main" xmlns:pic="http://schemas.openxmlformats.org/drawingml/2006/picture">
            <wp:extent cx="5212080" cy="3231490"/>
            <wp:docPr id="1" name="Picture 1"/>
            <wp:cNvGraphicFramePr>
              <a:graphicFrameLocks noChangeAspect="1"/>
            </wp:cNvGraphicFramePr>
            <a:graphic>
              <a:graphicData uri="http://schemas.openxmlformats.org/drawingml/2006/picture">
                <pic:pic>
                  <pic:nvPicPr>
                    <pic:cNvPr id="0" name="P01_sag_ponding.jpg"/>
                    <pic:cNvPicPr/>
                  </pic:nvPicPr>
                  <pic:blipFill>
                    <a:blip r:embed="rId11"/>
                    <a:stretch>
                      <a:fillRect/>
                    </a:stretch>
                  </pic:blipFill>
                  <pic:spPr>
                    <a:xfrm>
                      <a:off x="0" y="0"/>
                      <a:ext cx="5212080" cy="3231490"/>
                    </a:xfrm>
                    <a:prstGeom prst="rect"/>
                  </pic:spPr>
                </pic:pic>
              </a:graphicData>
            </a:graphic>
          </wp:inline>
        </w:drawing>
      </w:r>
    </w:p>
    <w:p>
      <w:pPr>
        <w:jc w:val="center"/>
      </w:pPr>
      <w:r>
        <w:rPr>
          <w:i/>
          <w:sz w:val="16"/>
        </w:rPr>
        <w:t>Figure P-01. Sag ponding observation near Sta. 0+210.</w:t>
      </w:r>
    </w:p>
    <w:p>
      <w:r>
        <w:drawing>
          <wp:inline xmlns:a="http://schemas.openxmlformats.org/drawingml/2006/main" xmlns:pic="http://schemas.openxmlformats.org/drawingml/2006/picture">
            <wp:extent cx="5212080" cy="3231490"/>
            <wp:docPr id="2" name="Picture 2"/>
            <wp:cNvGraphicFramePr>
              <a:graphicFrameLocks noChangeAspect="1"/>
            </wp:cNvGraphicFramePr>
            <a:graphic>
              <a:graphicData uri="http://schemas.openxmlformats.org/drawingml/2006/picture">
                <pic:pic>
                  <pic:nvPicPr>
                    <pic:cNvPr id="0" name="P03_diversion_berm.jpg"/>
                    <pic:cNvPicPr/>
                  </pic:nvPicPr>
                  <pic:blipFill>
                    <a:blip r:embed="rId12"/>
                    <a:stretch>
                      <a:fillRect/>
                    </a:stretch>
                  </pic:blipFill>
                  <pic:spPr>
                    <a:xfrm>
                      <a:off x="0" y="0"/>
                      <a:ext cx="5212080" cy="3231490"/>
                    </a:xfrm>
                    <a:prstGeom prst="rect"/>
                  </pic:spPr>
                </pic:pic>
              </a:graphicData>
            </a:graphic>
          </wp:inline>
        </w:drawing>
      </w:r>
    </w:p>
    <w:p>
      <w:pPr>
        <w:jc w:val="center"/>
      </w:pPr>
      <w:r>
        <w:rPr>
          <w:i/>
          <w:sz w:val="16"/>
        </w:rPr>
        <w:t>Figure P-03. East apron diverted away from Briarwood system.</w:t>
      </w:r>
    </w:p>
    <w:p>
      <w:r>
        <w:drawing>
          <wp:inline xmlns:a="http://schemas.openxmlformats.org/drawingml/2006/main" xmlns:pic="http://schemas.openxmlformats.org/drawingml/2006/picture">
            <wp:extent cx="5212080" cy="3231490"/>
            <wp:docPr id="3" name="Picture 3"/>
            <wp:cNvGraphicFramePr>
              <a:graphicFrameLocks noChangeAspect="1"/>
            </wp:cNvGraphicFramePr>
            <a:graphic>
              <a:graphicData uri="http://schemas.openxmlformats.org/drawingml/2006/picture">
                <pic:pic>
                  <pic:nvPicPr>
                    <pic:cNvPr id="0" name="P07_gravel_yard.jpg"/>
                    <pic:cNvPicPr/>
                  </pic:nvPicPr>
                  <pic:blipFill>
                    <a:blip r:embed="rId13"/>
                    <a:stretch>
                      <a:fillRect/>
                    </a:stretch>
                  </pic:blipFill>
                  <pic:spPr>
                    <a:xfrm>
                      <a:off x="0" y="0"/>
                      <a:ext cx="5212080" cy="3231490"/>
                    </a:xfrm>
                    <a:prstGeom prst="rect"/>
                  </pic:spPr>
                </pic:pic>
              </a:graphicData>
            </a:graphic>
          </wp:inline>
        </w:drawing>
      </w:r>
    </w:p>
    <w:p>
      <w:pPr>
        <w:jc w:val="center"/>
      </w:pPr>
      <w:r>
        <w:rPr>
          <w:i/>
          <w:sz w:val="16"/>
        </w:rPr>
        <w:t>Figure P-07. Contractor yard surface classification.</w:t>
      </w:r>
    </w:p>
    <w:p>
      <w:r>
        <w:drawing>
          <wp:inline xmlns:a="http://schemas.openxmlformats.org/drawingml/2006/main" xmlns:pic="http://schemas.openxmlformats.org/drawingml/2006/picture">
            <wp:extent cx="5212080" cy="3231490"/>
            <wp:docPr id="4" name="Picture 4"/>
            <wp:cNvGraphicFramePr>
              <a:graphicFrameLocks noChangeAspect="1"/>
            </wp:cNvGraphicFramePr>
            <a:graphic>
              <a:graphicData uri="http://schemas.openxmlformats.org/drawingml/2006/picture">
                <pic:pic>
                  <pic:nvPicPr>
                    <pic:cNvPr id="0" name="P09_culvert_outlet.jpg"/>
                    <pic:cNvPicPr/>
                  </pic:nvPicPr>
                  <pic:blipFill>
                    <a:blip r:embed="rId14"/>
                    <a:stretch>
                      <a:fillRect/>
                    </a:stretch>
                  </pic:blipFill>
                  <pic:spPr>
                    <a:xfrm>
                      <a:off x="0" y="0"/>
                      <a:ext cx="5212080" cy="3231490"/>
                    </a:xfrm>
                    <a:prstGeom prst="rect"/>
                  </pic:spPr>
                </pic:pic>
              </a:graphicData>
            </a:graphic>
          </wp:inline>
        </w:drawing>
      </w:r>
    </w:p>
    <w:p>
      <w:pPr>
        <w:jc w:val="center"/>
      </w:pPr>
      <w:r>
        <w:rPr>
          <w:i/>
          <w:sz w:val="16"/>
        </w:rPr>
        <w:t>Figure P-09. Outlet culvert visibility limitation.</w:t>
      </w:r>
    </w:p>
    <w:p>
      <w:pPr>
        <w:pStyle w:val="Heading1"/>
      </w:pPr>
      <w:r>
        <w:t>3. Conflicting field information to reconcile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shd w:fill="1F4E79"/>
            <w:vAlign w:val="center"/>
          </w:tcPr>
          <w:p>
            <w:r/>
            <w:r>
              <w:rPr>
                <w:b/>
                <w:color w:val="FFFFFF"/>
                <w:sz w:val="17"/>
              </w:rPr>
              <w:t>ID</w:t>
            </w:r>
          </w:p>
        </w:tc>
        <w:tc>
          <w:tcPr>
            <w:tcW w:type="dxa" w:w="1872"/>
            <w:shd w:fill="1F4E79"/>
            <w:vAlign w:val="center"/>
          </w:tcPr>
          <w:p>
            <w:r/>
            <w:r>
              <w:rPr>
                <w:b/>
                <w:color w:val="FFFFFF"/>
                <w:sz w:val="17"/>
              </w:rPr>
              <w:t>Topic</w:t>
            </w:r>
          </w:p>
        </w:tc>
        <w:tc>
          <w:tcPr>
            <w:tcW w:type="dxa" w:w="3888"/>
            <w:shd w:fill="1F4E79"/>
            <w:vAlign w:val="center"/>
          </w:tcPr>
          <w:p>
            <w:r/>
            <w:r>
              <w:rPr>
                <w:b/>
                <w:color w:val="FFFFFF"/>
                <w:sz w:val="17"/>
              </w:rPr>
              <w:t>Conflict or gap</w:t>
            </w:r>
          </w:p>
        </w:tc>
        <w:tc>
          <w:tcPr>
            <w:tcW w:type="dxa" w:w="3888"/>
            <w:shd w:fill="1F4E79"/>
            <w:vAlign w:val="center"/>
          </w:tcPr>
          <w:p>
            <w:r/>
            <w:r>
              <w:rPr>
                <w:b/>
                <w:color w:val="FFFFFF"/>
                <w:sz w:val="17"/>
              </w:rPr>
              <w:t>Required deduction</w:t>
            </w:r>
          </w:p>
        </w:tc>
      </w:tr>
      <w:tr>
        <w:tc>
          <w:tcPr>
            <w:tcW w:type="dxa" w:w="1008"/>
            <w:vAlign w:val="top"/>
          </w:tcPr>
          <w:p>
            <w:r/>
            <w:r>
              <w:rPr>
                <w:b w:val="0"/>
                <w:sz w:val="17"/>
              </w:rPr>
              <w:t>FLD-01</w:t>
            </w:r>
          </w:p>
        </w:tc>
        <w:tc>
          <w:tcPr>
            <w:tcW w:type="dxa" w:w="1872"/>
            <w:vAlign w:val="top"/>
          </w:tcPr>
          <w:p>
            <w:r/>
            <w:r>
              <w:rPr>
                <w:b w:val="0"/>
                <w:sz w:val="17"/>
              </w:rPr>
              <w:t>Ponding width</w:t>
            </w:r>
          </w:p>
        </w:tc>
        <w:tc>
          <w:tcPr>
            <w:tcW w:type="dxa" w:w="3888"/>
            <w:vAlign w:val="top"/>
          </w:tcPr>
          <w:p>
            <w:r/>
            <w:r>
              <w:rPr>
                <w:b w:val="0"/>
                <w:sz w:val="17"/>
              </w:rPr>
              <w:t>Complaint email says water crossed both lanes; field mark shows approx. 2.2 m from north curb.</w:t>
            </w:r>
          </w:p>
        </w:tc>
        <w:tc>
          <w:tcPr>
            <w:tcW w:type="dxa" w:w="3888"/>
            <w:vAlign w:val="top"/>
          </w:tcPr>
          <w:p>
            <w:r/>
            <w:r>
              <w:rPr>
                <w:b w:val="0"/>
                <w:sz w:val="17"/>
              </w:rPr>
              <w:t>Use photo mark as qualitative check, but calculate HEC-22 gutter spread from the corrected flow and street geometry.</w:t>
            </w:r>
          </w:p>
        </w:tc>
      </w:tr>
      <w:tr>
        <w:tc>
          <w:tcPr>
            <w:tcW w:type="dxa" w:w="1008"/>
            <w:vAlign w:val="top"/>
          </w:tcPr>
          <w:p>
            <w:r/>
            <w:r>
              <w:rPr>
                <w:b w:val="0"/>
                <w:sz w:val="17"/>
              </w:rPr>
              <w:t>FLD-02</w:t>
            </w:r>
          </w:p>
        </w:tc>
        <w:tc>
          <w:tcPr>
            <w:tcW w:type="dxa" w:w="1872"/>
            <w:vAlign w:val="top"/>
          </w:tcPr>
          <w:p>
            <w:r/>
            <w:r>
              <w:rPr>
                <w:b w:val="0"/>
                <w:sz w:val="17"/>
              </w:rPr>
              <w:t>Drainage boundary</w:t>
            </w:r>
          </w:p>
        </w:tc>
        <w:tc>
          <w:tcPr>
            <w:tcW w:type="dxa" w:w="3888"/>
            <w:vAlign w:val="top"/>
          </w:tcPr>
          <w:p>
            <w:r/>
            <w:r>
              <w:rPr>
                <w:b w:val="0"/>
                <w:sz w:val="17"/>
              </w:rPr>
              <w:t>2019 GIS map includes east apron C-06 in Briarwood catchment; P-03 shows curb diversion to Cedar Lane.</w:t>
            </w:r>
          </w:p>
        </w:tc>
        <w:tc>
          <w:tcPr>
            <w:tcW w:type="dxa" w:w="3888"/>
            <w:vAlign w:val="top"/>
          </w:tcPr>
          <w:p>
            <w:r/>
            <w:r>
              <w:rPr>
                <w:b w:val="0"/>
                <w:sz w:val="17"/>
              </w:rPr>
              <w:t>Exclude C-06 from Briarwood Rational Method area and record the 2019 GIS map as superseded for this boundary.</w:t>
            </w:r>
          </w:p>
        </w:tc>
      </w:tr>
      <w:tr>
        <w:tc>
          <w:tcPr>
            <w:tcW w:type="dxa" w:w="1008"/>
            <w:vAlign w:val="top"/>
          </w:tcPr>
          <w:p>
            <w:r/>
            <w:r>
              <w:rPr>
                <w:b w:val="0"/>
                <w:sz w:val="17"/>
              </w:rPr>
              <w:t>FLD-03</w:t>
            </w:r>
          </w:p>
        </w:tc>
        <w:tc>
          <w:tcPr>
            <w:tcW w:type="dxa" w:w="1872"/>
            <w:vAlign w:val="top"/>
          </w:tcPr>
          <w:p>
            <w:r/>
            <w:r>
              <w:rPr>
                <w:b w:val="0"/>
                <w:sz w:val="17"/>
              </w:rPr>
              <w:t>P-07 runoff coefficient</w:t>
            </w:r>
          </w:p>
        </w:tc>
        <w:tc>
          <w:tcPr>
            <w:tcW w:type="dxa" w:w="3888"/>
            <w:vAlign w:val="top"/>
          </w:tcPr>
          <w:p>
            <w:r/>
            <w:r>
              <w:rPr>
                <w:b w:val="0"/>
                <w:sz w:val="17"/>
              </w:rPr>
              <w:t>Operations email calls P-07 asphalt; photo P-07 shows compacted gravel.</w:t>
            </w:r>
          </w:p>
        </w:tc>
        <w:tc>
          <w:tcPr>
            <w:tcW w:type="dxa" w:w="3888"/>
            <w:vAlign w:val="top"/>
          </w:tcPr>
          <w:p>
            <w:r/>
            <w:r>
              <w:rPr>
                <w:b w:val="0"/>
                <w:sz w:val="17"/>
              </w:rPr>
              <w:t>Use compacted gravel runoff coefficient 0.70 for C-05. Do not use asphalt coefficient 0.90 unless paving records are supplied.</w:t>
            </w:r>
          </w:p>
        </w:tc>
      </w:tr>
      <w:tr>
        <w:tc>
          <w:tcPr>
            <w:tcW w:type="dxa" w:w="1008"/>
            <w:vAlign w:val="top"/>
          </w:tcPr>
          <w:p>
            <w:r/>
            <w:r>
              <w:rPr>
                <w:b w:val="0"/>
                <w:sz w:val="17"/>
              </w:rPr>
              <w:t>FLD-04</w:t>
            </w:r>
          </w:p>
        </w:tc>
        <w:tc>
          <w:tcPr>
            <w:tcW w:type="dxa" w:w="1872"/>
            <w:vAlign w:val="top"/>
          </w:tcPr>
          <w:p>
            <w:r/>
            <w:r>
              <w:rPr>
                <w:b w:val="0"/>
                <w:sz w:val="17"/>
              </w:rPr>
              <w:t>C-01 culvert shape</w:t>
            </w:r>
          </w:p>
        </w:tc>
        <w:tc>
          <w:tcPr>
            <w:tcW w:type="dxa" w:w="3888"/>
            <w:vAlign w:val="top"/>
          </w:tcPr>
          <w:p>
            <w:r/>
            <w:r>
              <w:rPr>
                <w:b w:val="0"/>
                <w:sz w:val="17"/>
              </w:rPr>
              <w:t>Field note says outlet appears circular from partial view; Rev D as-built detail shows 900 x 600 box culvert.</w:t>
            </w:r>
          </w:p>
        </w:tc>
        <w:tc>
          <w:tcPr>
            <w:tcW w:type="dxa" w:w="3888"/>
            <w:vAlign w:val="top"/>
          </w:tcPr>
          <w:p>
            <w:r/>
            <w:r>
              <w:rPr>
                <w:b w:val="0"/>
                <w:sz w:val="17"/>
              </w:rPr>
              <w:t>Use Rev D as-built geometry. Keep barrel CCTV confirmation open because the visible outlet was partly submerged.</w:t>
            </w:r>
          </w:p>
        </w:tc>
      </w:tr>
      <w:tr>
        <w:tc>
          <w:tcPr>
            <w:tcW w:type="dxa" w:w="1008"/>
            <w:vAlign w:val="top"/>
          </w:tcPr>
          <w:p>
            <w:r/>
            <w:r>
              <w:rPr>
                <w:b w:val="0"/>
                <w:sz w:val="17"/>
              </w:rPr>
              <w:t>FLD-05</w:t>
            </w:r>
          </w:p>
        </w:tc>
        <w:tc>
          <w:tcPr>
            <w:tcW w:type="dxa" w:w="1872"/>
            <w:vAlign w:val="top"/>
          </w:tcPr>
          <w:p>
            <w:r/>
            <w:r>
              <w:rPr>
                <w:b w:val="0"/>
                <w:sz w:val="17"/>
              </w:rPr>
              <w:t>Tailwater</w:t>
            </w:r>
          </w:p>
        </w:tc>
        <w:tc>
          <w:tcPr>
            <w:tcW w:type="dxa" w:w="3888"/>
            <w:vAlign w:val="top"/>
          </w:tcPr>
          <w:p>
            <w:r/>
            <w:r>
              <w:rPr>
                <w:b w:val="0"/>
                <w:sz w:val="17"/>
              </w:rPr>
              <w:t>Observed mark is 83.05 m, but receiving-channel normal-depth survey is not complete.</w:t>
            </w:r>
          </w:p>
        </w:tc>
        <w:tc>
          <w:tcPr>
            <w:tcW w:type="dxa" w:w="3888"/>
            <w:vAlign w:val="top"/>
          </w:tcPr>
          <w:p>
            <w:r/>
            <w:r>
              <w:rPr>
                <w:b w:val="0"/>
                <w:sz w:val="17"/>
              </w:rPr>
              <w:t>Use 83.05 m as provisional tailwater in the 60% reconciliation and list the missing survey check as an open item.</w:t>
            </w:r>
          </w:p>
        </w:tc>
      </w:tr>
    </w:tbl>
    <w:p>
      <w:pPr>
        <w:pStyle w:val="Heading1"/>
      </w:pPr>
      <w:r>
        <w:t>4. Open items from field inspection</w:t>
      </w:r>
    </w:p>
    <w:tbl>
      <w:tblPr>
        <w:tblStyle w:val="TableGrid"/>
        <w:tblW w:type="auto" w:w="0"/>
        <w:jc w:val="center"/>
        <w:tblLook w:firstColumn="1" w:firstRow="1" w:lastColumn="0" w:lastRow="0" w:noHBand="0" w:noVBand="1" w:val="04A0"/>
      </w:tblPr>
      <w:tblGrid>
        <w:gridCol w:w="5184"/>
        <w:gridCol w:w="5184"/>
      </w:tblGrid>
      <w:tr>
        <w:tc>
          <w:tcPr>
            <w:tcW w:type="dxa" w:w="1728"/>
            <w:shd w:fill="1F4E79"/>
            <w:vAlign w:val="center"/>
          </w:tcPr>
          <w:p>
            <w:r/>
            <w:r>
              <w:rPr>
                <w:b/>
                <w:color w:val="FFFFFF"/>
                <w:sz w:val="17"/>
              </w:rPr>
              <w:t>Open item</w:t>
            </w:r>
          </w:p>
        </w:tc>
        <w:tc>
          <w:tcPr>
            <w:tcW w:type="dxa" w:w="8208"/>
            <w:shd w:fill="1F4E79"/>
            <w:vAlign w:val="center"/>
          </w:tcPr>
          <w:p>
            <w:r/>
            <w:r>
              <w:rPr>
                <w:b/>
                <w:color w:val="FFFFFF"/>
                <w:sz w:val="17"/>
              </w:rPr>
              <w:t>Required evidence</w:t>
            </w:r>
          </w:p>
        </w:tc>
      </w:tr>
      <w:tr>
        <w:tc>
          <w:tcPr>
            <w:tcW w:type="dxa" w:w="1728"/>
            <w:vAlign w:val="top"/>
          </w:tcPr>
          <w:p>
            <w:r/>
            <w:r>
              <w:rPr>
                <w:b w:val="0"/>
                <w:sz w:val="17"/>
              </w:rPr>
              <w:t>OI-FLD-01</w:t>
            </w:r>
          </w:p>
        </w:tc>
        <w:tc>
          <w:tcPr>
            <w:tcW w:type="dxa" w:w="8208"/>
            <w:vAlign w:val="top"/>
          </w:tcPr>
          <w:p>
            <w:r/>
            <w:r>
              <w:rPr>
                <w:b w:val="0"/>
                <w:sz w:val="17"/>
              </w:rPr>
              <w:t>CCTV inspection of C-01 barrel because visual outlet check was obstructed by tailwater.</w:t>
            </w:r>
          </w:p>
        </w:tc>
      </w:tr>
      <w:tr>
        <w:tc>
          <w:tcPr>
            <w:tcW w:type="dxa" w:w="1728"/>
            <w:vAlign w:val="top"/>
          </w:tcPr>
          <w:p>
            <w:r/>
            <w:r>
              <w:rPr>
                <w:b w:val="0"/>
                <w:sz w:val="17"/>
              </w:rPr>
              <w:t>OI-FLD-02</w:t>
            </w:r>
          </w:p>
        </w:tc>
        <w:tc>
          <w:tcPr>
            <w:tcW w:type="dxa" w:w="8208"/>
            <w:vAlign w:val="top"/>
          </w:tcPr>
          <w:p>
            <w:r/>
            <w:r>
              <w:rPr>
                <w:b w:val="0"/>
                <w:sz w:val="17"/>
              </w:rPr>
              <w:t>Survey confirmation of receiving-channel tailwater and normal-depth condition.</w:t>
            </w:r>
          </w:p>
        </w:tc>
      </w:tr>
      <w:tr>
        <w:tc>
          <w:tcPr>
            <w:tcW w:type="dxa" w:w="1728"/>
            <w:vAlign w:val="top"/>
          </w:tcPr>
          <w:p>
            <w:r/>
            <w:r>
              <w:rPr>
                <w:b w:val="0"/>
                <w:sz w:val="17"/>
              </w:rPr>
              <w:t>OI-FLD-03</w:t>
            </w:r>
          </w:p>
        </w:tc>
        <w:tc>
          <w:tcPr>
            <w:tcW w:type="dxa" w:w="8208"/>
            <w:vAlign w:val="top"/>
          </w:tcPr>
          <w:p>
            <w:r/>
            <w:r>
              <w:rPr>
                <w:b w:val="0"/>
                <w:sz w:val="17"/>
              </w:rPr>
              <w:t>Sediment measurement at MH-4 after cleaning.</w:t>
            </w:r>
          </w:p>
        </w:tc>
      </w:tr>
      <w:tr>
        <w:tc>
          <w:tcPr>
            <w:tcW w:type="dxa" w:w="1728"/>
            <w:vAlign w:val="top"/>
          </w:tcPr>
          <w:p>
            <w:r/>
            <w:r>
              <w:rPr>
                <w:b w:val="0"/>
                <w:sz w:val="17"/>
              </w:rPr>
              <w:t>OI-FLD-04</w:t>
            </w:r>
          </w:p>
        </w:tc>
        <w:tc>
          <w:tcPr>
            <w:tcW w:type="dxa" w:w="8208"/>
            <w:vAlign w:val="top"/>
          </w:tcPr>
          <w:p>
            <w:r/>
            <w:r>
              <w:rPr>
                <w:b w:val="0"/>
                <w:sz w:val="17"/>
              </w:rPr>
              <w:t>Utility potholing near MH-3 to MH-4 replacement corridor.</w:t>
            </w:r>
          </w:p>
        </w:tc>
      </w:tr>
    </w:tbl>
    <w:sectPr>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Issued for 60% drainage reconciliation | Confidential project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Briarwood Avenue Drainage Upgrade | BA-DGN-FLD-009 Rev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Briarwood Avenue Storm Event and Field Photo Record</dc:title>
  <dc:subject/>
  <dc:creator/>
  <cp:keywords/>
  <dc:description/>
  <cp:lastModifiedBy/>
  <cp:revision>1</cp:revision>
  <dcterms:created xsi:type="dcterms:W3CDTF">2013-12-23T23:15:00Z</dcterms:created>
  <dcterms:modified xsi:type="dcterms:W3CDTF">2013-12-23T23:15:00Z</dcterms:modified>
  <cp:category/>
</cp:coreProperties>
</file>