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C-410A Shutdown, Safety, and Budget Constraints</w:t>
      </w:r>
    </w:p>
    <w:p>
      <w:r>
        <w:t>Issued by: Packaging Maintenance Planning | Date: 2026-05-13 | Applies to: May maintenance window.</w:t>
      </w:r>
    </w:p>
    <w:p>
      <w:pPr>
        <w:pStyle w:val="Heading1"/>
      </w:pPr>
      <w:r>
        <w:t>1. Window and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shd w:fill="D9EAF7"/>
            <w:vAlign w:val="center"/>
          </w:tcPr>
          <w:p>
            <w:r>
              <w:rPr>
                <w:sz w:val="14"/>
              </w:rPr>
              <w:t>constraint</w:t>
            </w:r>
          </w:p>
        </w:tc>
        <w:tc>
          <w:tcPr>
            <w:tcW w:type="dxa" w:w="2966"/>
            <w:shd w:fill="D9EAF7"/>
            <w:vAlign w:val="center"/>
          </w:tcPr>
          <w:p>
            <w:r>
              <w:rPr>
                <w:sz w:val="14"/>
              </w:rPr>
              <w:t>value</w:t>
            </w:r>
          </w:p>
        </w:tc>
        <w:tc>
          <w:tcPr>
            <w:tcW w:type="dxa" w:w="2966"/>
            <w:shd w:fill="D9EAF7"/>
            <w:vAlign w:val="center"/>
          </w:tcPr>
          <w:p>
            <w:r>
              <w:rPr>
                <w:sz w:val="14"/>
              </w:rPr>
              <w:t>unit</w:t>
            </w:r>
          </w:p>
        </w:tc>
        <w:tc>
          <w:tcPr>
            <w:tcW w:type="dxa" w:w="2966"/>
            <w:shd w:fill="D9EAF7"/>
            <w:vAlign w:val="center"/>
          </w:tcPr>
          <w:p>
            <w:r>
              <w:rPr>
                <w:sz w:val="14"/>
              </w:rPr>
              <w:t>basis</w:t>
            </w:r>
          </w:p>
        </w:tc>
        <w:tc>
          <w:tcPr>
            <w:tcW w:type="dxa" w:w="2966"/>
            <w:shd w:fill="D9EAF7"/>
            <w:vAlign w:val="center"/>
          </w:tcPr>
          <w:p>
            <w:r>
              <w:rPr>
                <w:sz w:val="14"/>
              </w:rPr>
              <w:t>note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sz w:val="14"/>
              </w:rPr>
              <w:t>approved budget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42000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GBP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plant manager approval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Includes parts, service labour, rental support, consumables, and disposal.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sz w:val="14"/>
              </w:rPr>
              <w:t>maintenance window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hours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production plan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Friday 20:00 to Saturday 14:00; compressor may be isolated once.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sz w:val="14"/>
              </w:rPr>
              <w:t>maximum hot work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hours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safety restriction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No hot work during packaging campaign.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sz w:val="14"/>
              </w:rPr>
              <w:t>minimum capacity after intervention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1450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acfm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production line balance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Based on line 2 and line 5 concurrent operation.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sz w:val="14"/>
              </w:rPr>
              <w:t>maximum restart cycles after work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starts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electrical safety review</w:t>
            </w:r>
          </w:p>
        </w:tc>
        <w:tc>
          <w:tcPr>
            <w:tcW w:type="dxa" w:w="2966"/>
            <w:vAlign w:val="center"/>
          </w:tcPr>
          <w:p>
            <w:r>
              <w:rPr>
                <w:sz w:val="14"/>
              </w:rPr>
              <w:t>Avoid repeated start/stop testing while product lines recover.</w:t>
            </w:r>
          </w:p>
        </w:tc>
      </w:tr>
    </w:tbl>
    <w:p/>
    <w:p>
      <w:pPr>
        <w:pStyle w:val="Heading1"/>
      </w:pPr>
      <w:r>
        <w:t>2. Safety and Permit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shd w:fill="D9EAF7"/>
            <w:vAlign w:val="center"/>
          </w:tcPr>
          <w:p>
            <w:r>
              <w:rPr>
                <w:sz w:val="14"/>
              </w:rPr>
              <w:t>item</w:t>
            </w:r>
          </w:p>
        </w:tc>
        <w:tc>
          <w:tcPr>
            <w:tcW w:type="dxa" w:w="3708"/>
            <w:shd w:fill="D9EAF7"/>
            <w:vAlign w:val="center"/>
          </w:tcPr>
          <w:p>
            <w:r>
              <w:rPr>
                <w:sz w:val="14"/>
              </w:rPr>
              <w:t>requirement</w:t>
            </w:r>
          </w:p>
        </w:tc>
        <w:tc>
          <w:tcPr>
            <w:tcW w:type="dxa" w:w="3708"/>
            <w:shd w:fill="D9EAF7"/>
            <w:vAlign w:val="center"/>
          </w:tcPr>
          <w:p>
            <w:r>
              <w:rPr>
                <w:sz w:val="14"/>
              </w:rPr>
              <w:t>record needed</w:t>
            </w:r>
          </w:p>
        </w:tc>
        <w:tc>
          <w:tcPr>
            <w:tcW w:type="dxa" w:w="3708"/>
            <w:shd w:fill="D9EAF7"/>
            <w:vAlign w:val="center"/>
          </w:tcPr>
          <w:p>
            <w:r>
              <w:rPr>
                <w:sz w:val="14"/>
              </w:rPr>
              <w:t>constraint</w:t>
            </w:r>
          </w:p>
        </w:tc>
      </w:tr>
      <w:tr>
        <w:tc>
          <w:tcPr>
            <w:tcW w:type="dxa" w:w="3708"/>
            <w:vAlign w:val="center"/>
          </w:tcPr>
          <w:p>
            <w:r>
              <w:rPr>
                <w:sz w:val="14"/>
              </w:rPr>
              <w:t>LOTO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mechanical and electrical isolation required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signed LOTO permit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complete before separator vessel opening</w:t>
            </w:r>
          </w:p>
        </w:tc>
      </w:tr>
      <w:tr>
        <w:tc>
          <w:tcPr>
            <w:tcW w:type="dxa" w:w="3708"/>
            <w:vAlign w:val="center"/>
          </w:tcPr>
          <w:p>
            <w:r>
              <w:rPr>
                <w:sz w:val="14"/>
              </w:rPr>
              <w:t>oil handling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used lubricant to sealed drums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waste transfer note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no drain to floor sump</w:t>
            </w:r>
          </w:p>
        </w:tc>
      </w:tr>
      <w:tr>
        <w:tc>
          <w:tcPr>
            <w:tcW w:type="dxa" w:w="3708"/>
            <w:vAlign w:val="center"/>
          </w:tcPr>
          <w:p>
            <w:r>
              <w:rPr>
                <w:sz w:val="14"/>
              </w:rPr>
              <w:t>chemical clean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effluent capture required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chemical handling permit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allowed only if containment kit is available</w:t>
            </w:r>
          </w:p>
        </w:tc>
      </w:tr>
      <w:tr>
        <w:tc>
          <w:tcPr>
            <w:tcW w:type="dxa" w:w="3708"/>
            <w:vAlign w:val="center"/>
          </w:tcPr>
          <w:p>
            <w:r>
              <w:rPr>
                <w:sz w:val="14"/>
              </w:rPr>
              <w:t>confined access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not planned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supervisor sign-off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separator vessel not to be entered</w:t>
            </w:r>
          </w:p>
        </w:tc>
      </w:tr>
      <w:tr>
        <w:tc>
          <w:tcPr>
            <w:tcW w:type="dxa" w:w="3708"/>
            <w:vAlign w:val="center"/>
          </w:tcPr>
          <w:p>
            <w:r>
              <w:rPr>
                <w:sz w:val="14"/>
              </w:rPr>
              <w:t>lifting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forklift allowed; crane not booked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lift plan if rental package used</w:t>
            </w:r>
          </w:p>
        </w:tc>
        <w:tc>
          <w:tcPr>
            <w:tcW w:type="dxa" w:w="3708"/>
            <w:vAlign w:val="center"/>
          </w:tcPr>
          <w:p>
            <w:r>
              <w:rPr>
                <w:sz w:val="14"/>
              </w:rPr>
              <w:t>no crane within window</w:t>
            </w:r>
          </w:p>
        </w:tc>
      </w:tr>
    </w:tbl>
    <w:p/>
    <w:p>
      <w:pPr>
        <w:pStyle w:val="Heading1"/>
      </w:pPr>
      <w:r>
        <w:t>3. Planning Notes</w:t>
      </w:r>
    </w:p>
    <w:p>
      <w:r>
        <w:t>The preferred package must fit the single 18-hour window. The maintenance supervisor will not accept options requiring crane mobilisation, hot work, or a second outage in the same week.</w:t>
      </w:r>
    </w:p>
    <w:p>
      <w:r>
        <w:t>If a quote lacks capacity or duration evidence, treat it as unresolved until the vendor clarifies it. Do not assume budget approval above GBP 42,000.</w:t>
      </w:r>
    </w:p>
    <w:p>
      <w:r>
        <w:t>Operator controls before the shutdown should avoid extra production risk. Any recommendation must refer to source records and public compressed-air guidance.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struction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struction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C-410A Shutdown Safety and Budget Constraints</dc:title>
  <dc:subject/>
  <dc:creator>Maintenance Planning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