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Cedar Creek Industrial Access Road</w:t>
      </w:r>
    </w:p>
    <w:p>
      <w:pPr>
        <w:jc w:val="center"/>
      </w:pPr>
      <w:r>
        <w:rPr>
          <w:b/>
        </w:rPr>
        <w:t>Authority Hierarchy and Public Lookup Instructions</w:t>
      </w:r>
    </w:p>
    <w:p>
      <w:pPr>
        <w:jc w:val="center"/>
      </w:pPr>
      <w:r>
        <w:t>Record: CC-AUTH-2026-06 Rev A | Applies to 60% design reconciliation</w:t>
      </w:r>
    </w:p>
    <w:p>
      <w:pPr>
        <w:pStyle w:val="Heading1"/>
      </w:pPr>
      <w:r>
        <w:t>1. Authority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20"/>
            <w:shd w:fill="D9EAF7"/>
            <w:vAlign w:val="center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Source class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Controlling files / records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Instruction</w:t>
            </w:r>
          </w:p>
        </w:tc>
      </w:tr>
      <w:tr>
        <w:tc>
          <w:tcPr>
            <w:tcW w:type="dxa" w:w="720"/>
            <w:vAlign w:val="top"/>
          </w:tcPr>
          <w:p>
            <w:r>
              <w:t>1</w:t>
            </w:r>
          </w:p>
        </w:tc>
        <w:tc>
          <w:tcPr>
            <w:tcW w:type="dxa" w:w="2448"/>
            <w:vAlign w:val="top"/>
          </w:tcPr>
          <w:p>
            <w:r>
              <w:t>Signed owner constraints and decisions</w:t>
            </w:r>
          </w:p>
        </w:tc>
        <w:tc>
          <w:tcPr>
            <w:tcW w:type="dxa" w:w="3888"/>
            <w:vAlign w:val="top"/>
          </w:tcPr>
          <w:p>
            <w:r>
              <w:t>CedarCreek_Alternatives_Costs_and_Constraints.xlsx: Mandatory_Constraints and Owner_Decisions</w:t>
            </w:r>
          </w:p>
        </w:tc>
        <w:tc>
          <w:tcPr>
            <w:tcW w:type="dxa" w:w="4320"/>
            <w:vAlign w:val="top"/>
          </w:tcPr>
          <w:p>
            <w:r>
              <w:t>Controls mandatory screening, budget, ROW, closure and design-basis decisions.</w:t>
            </w:r>
          </w:p>
        </w:tc>
      </w:tr>
      <w:tr>
        <w:tc>
          <w:tcPr>
            <w:tcW w:type="dxa" w:w="720"/>
            <w:vAlign w:val="top"/>
          </w:tcPr>
          <w:p>
            <w:r>
              <w:t>2</w:t>
            </w:r>
          </w:p>
        </w:tc>
        <w:tc>
          <w:tcPr>
            <w:tcW w:type="dxa" w:w="2448"/>
            <w:vAlign w:val="top"/>
          </w:tcPr>
          <w:p>
            <w:r>
              <w:t>Approved survey and geotechnical corrections</w:t>
            </w:r>
          </w:p>
        </w:tc>
        <w:tc>
          <w:tcPr>
            <w:tcW w:type="dxa" w:w="3888"/>
            <w:vAlign w:val="top"/>
          </w:tcPr>
          <w:p>
            <w:r>
              <w:t>CedarCreek_Survey_Geotech_and_Core_Log.xlsx: Project_Control and Geotech_Correction</w:t>
            </w:r>
          </w:p>
        </w:tc>
        <w:tc>
          <w:tcPr>
            <w:tcW w:type="dxa" w:w="4320"/>
            <w:vAlign w:val="top"/>
          </w:tcPr>
          <w:p>
            <w:r>
              <w:t>Controls datum correction and pavement design CBR.</w:t>
            </w:r>
          </w:p>
        </w:tc>
      </w:tr>
      <w:tr>
        <w:tc>
          <w:tcPr>
            <w:tcW w:type="dxa" w:w="720"/>
            <w:vAlign w:val="top"/>
          </w:tcPr>
          <w:p>
            <w:r>
              <w:t>3</w:t>
            </w:r>
          </w:p>
        </w:tc>
        <w:tc>
          <w:tcPr>
            <w:tcW w:type="dxa" w:w="2448"/>
            <w:vAlign w:val="top"/>
          </w:tcPr>
          <w:p>
            <w:r>
              <w:t>Issued roadway plans and profile</w:t>
            </w:r>
          </w:p>
        </w:tc>
        <w:tc>
          <w:tcPr>
            <w:tcW w:type="dxa" w:w="3888"/>
            <w:vAlign w:val="top"/>
          </w:tcPr>
          <w:p>
            <w:r>
              <w:t>CedarCreek_Roadway_Plans_and_Profile.pdf, Revision F</w:t>
            </w:r>
          </w:p>
        </w:tc>
        <w:tc>
          <w:tcPr>
            <w:tcW w:type="dxa" w:w="4320"/>
            <w:vAlign w:val="top"/>
          </w:tcPr>
          <w:p>
            <w:r>
              <w:t>Controls roadway geometry, drainage layout, culvert size, pipe/ditch alignment and profile.</w:t>
            </w:r>
          </w:p>
        </w:tc>
      </w:tr>
      <w:tr>
        <w:tc>
          <w:tcPr>
            <w:tcW w:type="dxa" w:w="720"/>
            <w:vAlign w:val="top"/>
          </w:tcPr>
          <w:p>
            <w:r>
              <w:t>4</w:t>
            </w:r>
          </w:p>
        </w:tc>
        <w:tc>
          <w:tcPr>
            <w:tcW w:type="dxa" w:w="2448"/>
            <w:vAlign w:val="top"/>
          </w:tcPr>
          <w:p>
            <w:r>
              <w:t>Signed field report and traffic summary</w:t>
            </w:r>
          </w:p>
        </w:tc>
        <w:tc>
          <w:tcPr>
            <w:tcW w:type="dxa" w:w="3888"/>
            <w:vAlign w:val="top"/>
          </w:tcPr>
          <w:p>
            <w:r>
              <w:t>CedarCreek_Traffic_Drainage_Field_Report.docx</w:t>
            </w:r>
          </w:p>
        </w:tc>
        <w:tc>
          <w:tcPr>
            <w:tcW w:type="dxa" w:w="4320"/>
            <w:vAlign w:val="top"/>
          </w:tcPr>
          <w:p>
            <w:r>
              <w:t>Controls field observations, WIM truck-count summary and open field items unless contradicted by higher-ranked records.</w:t>
            </w:r>
          </w:p>
        </w:tc>
      </w:tr>
      <w:tr>
        <w:tc>
          <w:tcPr>
            <w:tcW w:type="dxa" w:w="720"/>
            <w:vAlign w:val="top"/>
          </w:tcPr>
          <w:p>
            <w:r>
              <w:t>5</w:t>
            </w:r>
          </w:p>
        </w:tc>
        <w:tc>
          <w:tcPr>
            <w:tcW w:type="dxa" w:w="2448"/>
            <w:vAlign w:val="top"/>
          </w:tcPr>
          <w:p>
            <w:r>
              <w:t>Vendor or alternative quote information</w:t>
            </w:r>
          </w:p>
        </w:tc>
        <w:tc>
          <w:tcPr>
            <w:tcW w:type="dxa" w:w="3888"/>
            <w:vAlign w:val="top"/>
          </w:tcPr>
          <w:p>
            <w:r>
              <w:t>CedarCreek_Alternatives_Costs_and_Constraints.xlsx: Alternative_Quotes</w:t>
            </w:r>
          </w:p>
        </w:tc>
        <w:tc>
          <w:tcPr>
            <w:tcW w:type="dxa" w:w="4320"/>
            <w:vAlign w:val="top"/>
          </w:tcPr>
          <w:p>
            <w:r>
              <w:t>Use for quoted capex, closure duration, annual O&amp;M and proposed alternative components.</w:t>
            </w:r>
          </w:p>
        </w:tc>
      </w:tr>
      <w:tr>
        <w:tc>
          <w:tcPr>
            <w:tcW w:type="dxa" w:w="720"/>
            <w:vAlign w:val="top"/>
          </w:tcPr>
          <w:p>
            <w:r>
              <w:t>6</w:t>
            </w:r>
          </w:p>
        </w:tc>
        <w:tc>
          <w:tcPr>
            <w:tcW w:type="dxa" w:w="2448"/>
            <w:vAlign w:val="top"/>
          </w:tcPr>
          <w:p>
            <w:r>
              <w:t>Public-source references</w:t>
            </w:r>
          </w:p>
        </w:tc>
        <w:tc>
          <w:tcPr>
            <w:tcW w:type="dxa" w:w="3888"/>
            <w:vAlign w:val="top"/>
          </w:tcPr>
          <w:p>
            <w:r>
              <w:t>FHWA, U.S. Access Board and related public references listed below</w:t>
            </w:r>
          </w:p>
        </w:tc>
        <w:tc>
          <w:tcPr>
            <w:tcW w:type="dxa" w:w="4320"/>
            <w:vAlign w:val="top"/>
          </w:tcPr>
          <w:p>
            <w:r>
              <w:t>Use for method verification only; do not override project-specific values from higher-ranked attached records.</w:t>
            </w:r>
          </w:p>
        </w:tc>
      </w:tr>
    </w:tbl>
    <w:p>
      <w:r>
        <w:t>Do not use superseded traffic counts, superseded datum corrections, early CAD exports or draft geotechnical memos when a higher-ranked active source provides the relevant value.</w:t>
      </w:r>
    </w:p>
    <w:p>
      <w:pPr>
        <w:pStyle w:val="Heading1"/>
      </w:pPr>
      <w:r>
        <w:t>2. Public-source lookup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Public source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Document link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016"/>
            <w:vAlign w:val="top"/>
          </w:tcPr>
          <w:p>
            <w:r>
              <w:t>Flexible pavement and ESAL terminology</w:t>
            </w:r>
          </w:p>
        </w:tc>
        <w:tc>
          <w:tcPr>
            <w:tcW w:type="dxa" w:w="3168"/>
            <w:vAlign w:val="top"/>
          </w:tcPr>
          <w:p>
            <w:r>
              <w:t>FHWA Federal Lands PDDM Chapter 11 - Pavements</w:t>
            </w:r>
          </w:p>
        </w:tc>
        <w:tc>
          <w:tcPr>
            <w:tcW w:type="dxa" w:w="3456"/>
            <w:vAlign w:val="top"/>
          </w:tcPr>
          <w:p>
            <w:r>
              <w:t>https://highways.dot.gov/federal-lands/pddm/pavements</w:t>
            </w:r>
          </w:p>
        </w:tc>
        <w:tc>
          <w:tcPr>
            <w:tcW w:type="dxa" w:w="3744"/>
            <w:vAlign w:val="top"/>
          </w:tcPr>
          <w:p>
            <w:r>
              <w:t>Use to verify pavement terminology and flexible pavement design context. Use project-supplied SN, coefficients and CBR for calculations.</w:t>
            </w:r>
          </w:p>
        </w:tc>
      </w:tr>
      <w:tr>
        <w:tc>
          <w:tcPr>
            <w:tcW w:type="dxa" w:w="2016"/>
            <w:vAlign w:val="top"/>
          </w:tcPr>
          <w:p>
            <w:r>
              <w:t>Culvert hydraulics</w:t>
            </w:r>
          </w:p>
        </w:tc>
        <w:tc>
          <w:tcPr>
            <w:tcW w:type="dxa" w:w="3168"/>
            <w:vAlign w:val="top"/>
          </w:tcPr>
          <w:p>
            <w:r>
              <w:t>FHWA HDS-5: Hydraulic Design of Highway Culverts, Third Edition</w:t>
            </w:r>
          </w:p>
        </w:tc>
        <w:tc>
          <w:tcPr>
            <w:tcW w:type="dxa" w:w="3456"/>
            <w:vAlign w:val="top"/>
          </w:tcPr>
          <w:p>
            <w:r>
              <w:t>https://www.fhwa.dot.gov/engineering/hydraulics/library_arc.cfm?id=13&amp;pub_number=7</w:t>
            </w:r>
          </w:p>
        </w:tc>
        <w:tc>
          <w:tcPr>
            <w:tcW w:type="dxa" w:w="3744"/>
            <w:vAlign w:val="top"/>
          </w:tcPr>
          <w:p>
            <w:r>
              <w:t>Use to verify inlet-control/outlet-control and headwater terminology for CUL-01.</w:t>
            </w:r>
          </w:p>
        </w:tc>
      </w:tr>
      <w:tr>
        <w:tc>
          <w:tcPr>
            <w:tcW w:type="dxa" w:w="2016"/>
            <w:vAlign w:val="top"/>
          </w:tcPr>
          <w:p>
            <w:r>
              <w:t>Roadside drainage / ditch checks</w:t>
            </w:r>
          </w:p>
        </w:tc>
        <w:tc>
          <w:tcPr>
            <w:tcW w:type="dxa" w:w="3168"/>
            <w:vAlign w:val="top"/>
          </w:tcPr>
          <w:p>
            <w:r>
              <w:t>FHWA HEC-22: Urban Drainage Design Manual, Fourth Edition</w:t>
            </w:r>
          </w:p>
        </w:tc>
        <w:tc>
          <w:tcPr>
            <w:tcW w:type="dxa" w:w="3456"/>
            <w:vAlign w:val="top"/>
          </w:tcPr>
          <w:p>
            <w:r>
              <w:t>https://www.fhwa.dot.gov/engineering/hydraulics/pubs/hif24006.pdf</w:t>
            </w:r>
          </w:p>
        </w:tc>
        <w:tc>
          <w:tcPr>
            <w:tcW w:type="dxa" w:w="3744"/>
            <w:vAlign w:val="top"/>
          </w:tcPr>
          <w:p>
            <w:r>
              <w:t>Use to verify roadway drainage, ditch conveyance and storm-drain checking terminology.</w:t>
            </w:r>
          </w:p>
        </w:tc>
      </w:tr>
      <w:tr>
        <w:tc>
          <w:tcPr>
            <w:tcW w:type="dxa" w:w="2016"/>
            <w:vAlign w:val="top"/>
          </w:tcPr>
          <w:p>
            <w:r>
              <w:t>ADA cross-slope</w:t>
            </w:r>
          </w:p>
        </w:tc>
        <w:tc>
          <w:tcPr>
            <w:tcW w:type="dxa" w:w="3168"/>
            <w:vAlign w:val="top"/>
          </w:tcPr>
          <w:p>
            <w:r>
              <w:t>U.S. Access Board ADA Chapter 4 - Accessible Routes</w:t>
            </w:r>
          </w:p>
        </w:tc>
        <w:tc>
          <w:tcPr>
            <w:tcW w:type="dxa" w:w="3456"/>
            <w:vAlign w:val="top"/>
          </w:tcPr>
          <w:p>
            <w:r>
              <w:t>https://www.access-board.gov/ada/chapter/ch04/</w:t>
            </w:r>
          </w:p>
        </w:tc>
        <w:tc>
          <w:tcPr>
            <w:tcW w:type="dxa" w:w="3744"/>
            <w:vAlign w:val="top"/>
          </w:tcPr>
          <w:p>
            <w:r>
              <w:t>Use to verify accessible-route cross-slope limit of 1:48.</w:t>
            </w:r>
          </w:p>
        </w:tc>
      </w:tr>
    </w:tbl>
    <w:p>
      <w:pPr>
        <w:pStyle w:val="Heading1"/>
      </w:pPr>
      <w:r>
        <w:t>3. Required calculation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Governing basis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Expected handling</w:t>
            </w:r>
          </w:p>
        </w:tc>
      </w:tr>
      <w:tr>
        <w:tc>
          <w:tcPr>
            <w:tcW w:type="dxa" w:w="2448"/>
            <w:vAlign w:val="top"/>
          </w:tcPr>
          <w:p>
            <w:r>
              <w:t>Pavement ESALs</w:t>
            </w:r>
          </w:p>
        </w:tc>
        <w:tc>
          <w:tcPr>
            <w:tcW w:type="dxa" w:w="4608"/>
            <w:vAlign w:val="top"/>
          </w:tcPr>
          <w:p>
            <w:r>
              <w:t>20-year design life; WIM count 148 trucks/day; 2.5% annual growth; lane-direction factor 0.55; truck equivalency factor 1.42</w:t>
            </w:r>
          </w:p>
        </w:tc>
        <w:tc>
          <w:tcPr>
            <w:tcW w:type="dxa" w:w="4608"/>
            <w:vAlign w:val="top"/>
          </w:tcPr>
          <w:p>
            <w:r>
              <w:t>Calculate cumulative ESALs and compare to structural requirement SN &gt;= 3.20.</w:t>
            </w:r>
          </w:p>
        </w:tc>
      </w:tr>
      <w:tr>
        <w:tc>
          <w:tcPr>
            <w:tcW w:type="dxa" w:w="2448"/>
            <w:vAlign w:val="top"/>
          </w:tcPr>
          <w:p>
            <w:r>
              <w:t>Pavement structural number</w:t>
            </w:r>
          </w:p>
        </w:tc>
        <w:tc>
          <w:tcPr>
            <w:tcW w:type="dxa" w:w="4608"/>
            <w:vAlign w:val="top"/>
          </w:tcPr>
          <w:p>
            <w:r>
              <w:t>Design CBR = 3.0%; a1 = 0.44 for HMA; a2 = 0.14 and m2 = 0.85 for aggregate base</w:t>
            </w:r>
          </w:p>
        </w:tc>
        <w:tc>
          <w:tcPr>
            <w:tcW w:type="dxa" w:w="4608"/>
            <w:vAlign w:val="top"/>
          </w:tcPr>
          <w:p>
            <w:r>
              <w:t>Calculate SN for flexible alternatives from proposed thicknesses in inches.</w:t>
            </w:r>
          </w:p>
        </w:tc>
      </w:tr>
      <w:tr>
        <w:tc>
          <w:tcPr>
            <w:tcW w:type="dxa" w:w="2448"/>
            <w:vAlign w:val="top"/>
          </w:tcPr>
          <w:p>
            <w:r>
              <w:t>Drainage flow</w:t>
            </w:r>
          </w:p>
        </w:tc>
        <w:tc>
          <w:tcPr>
            <w:tcW w:type="dxa" w:w="4608"/>
            <w:vAlign w:val="top"/>
          </w:tcPr>
          <w:p>
            <w:r>
              <w:t>10-year roadside drainage basis; C = 0.72; A = 4.60 ha; i = 96 mm/hr</w:t>
            </w:r>
          </w:p>
        </w:tc>
        <w:tc>
          <w:tcPr>
            <w:tcW w:type="dxa" w:w="4608"/>
            <w:vAlign w:val="top"/>
          </w:tcPr>
          <w:p>
            <w:r>
              <w:t>Use Rational Method Q = 0.00278 CIA and compare ditch capacity to Q.</w:t>
            </w:r>
          </w:p>
        </w:tc>
      </w:tr>
      <w:tr>
        <w:tc>
          <w:tcPr>
            <w:tcW w:type="dxa" w:w="2448"/>
            <w:vAlign w:val="top"/>
          </w:tcPr>
          <w:p>
            <w:r>
              <w:t>Culvert headwater</w:t>
            </w:r>
          </w:p>
        </w:tc>
        <w:tc>
          <w:tcPr>
            <w:tcW w:type="dxa" w:w="4608"/>
            <w:vAlign w:val="top"/>
          </w:tcPr>
          <w:p>
            <w:r>
              <w:t>CUL-01 Rev F geometry and tailwater from plan/profile and field report</w:t>
            </w:r>
          </w:p>
        </w:tc>
        <w:tc>
          <w:tcPr>
            <w:tcW w:type="dxa" w:w="4608"/>
            <w:vAlign w:val="top"/>
          </w:tcPr>
          <w:p>
            <w:r>
              <w:t>Use HDS-5 method concepts and screen against HW/D &lt;= 1.20.</w:t>
            </w:r>
          </w:p>
        </w:tc>
      </w:tr>
      <w:tr>
        <w:tc>
          <w:tcPr>
            <w:tcW w:type="dxa" w:w="2448"/>
            <w:vAlign w:val="top"/>
          </w:tcPr>
          <w:p>
            <w:r>
              <w:t>ADA bus pad</w:t>
            </w:r>
          </w:p>
        </w:tc>
        <w:tc>
          <w:tcPr>
            <w:tcW w:type="dxa" w:w="4608"/>
            <w:vAlign w:val="top"/>
          </w:tcPr>
          <w:p>
            <w:r>
              <w:t>Corrected survey edge elevations BUS-N and BUS-S over 1.80 m width</w:t>
            </w:r>
          </w:p>
        </w:tc>
        <w:tc>
          <w:tcPr>
            <w:tcW w:type="dxa" w:w="4608"/>
            <w:vAlign w:val="top"/>
          </w:tcPr>
          <w:p>
            <w:r>
              <w:t>Calculate cross-slope and compare with 2.0 percent maximum.</w:t>
            </w:r>
          </w:p>
        </w:tc>
      </w:tr>
      <w:tr>
        <w:tc>
          <w:tcPr>
            <w:tcW w:type="dxa" w:w="2448"/>
            <w:vAlign w:val="top"/>
          </w:tcPr>
          <w:p>
            <w:r>
              <w:t>Lifecycle cost</w:t>
            </w:r>
          </w:p>
        </w:tc>
        <w:tc>
          <w:tcPr>
            <w:tcW w:type="dxa" w:w="4608"/>
            <w:vAlign w:val="top"/>
          </w:tcPr>
          <w:p>
            <w:r>
              <w:t>25-year design life and 3.5% discount rate from cost workbook</w:t>
            </w:r>
          </w:p>
        </w:tc>
        <w:tc>
          <w:tcPr>
            <w:tcW w:type="dxa" w:w="4608"/>
            <w:vAlign w:val="top"/>
          </w:tcPr>
          <w:p>
            <w:r>
              <w:t>Calculate 25-year present value using annuity factor and compare to GBP 700,000 ceiling.</w:t>
            </w:r>
          </w:p>
        </w:tc>
      </w:tr>
    </w:tbl>
    <w:p>
      <w:pPr>
        <w:pStyle w:val="Heading1"/>
      </w:pPr>
      <w:r>
        <w:t>4. Conflict and open-item treatment</w:t>
      </w:r>
    </w:p>
    <w:p>
      <w:r>
        <w:t>If a value is missing from the attached records and is required for final approval, record the fact as an open item instead of inventing a value.</w:t>
      </w:r>
    </w:p>
    <w:p>
      <w:r>
        <w:t>If a lower-ranked source conflicts with a higher-ranked active source, use the higher-ranked source and cite the rejected source in the reconciliation log.</w:t>
      </w:r>
    </w:p>
    <w:p>
      <w:r>
        <w:t>Public references should validate calculation methods and thresholds only. Project-specific dimensions, elevations, counts, costs and constraints must come from the attached records.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Creek Authority Hierarchy and Public Lookups</dc:title>
  <dc:subject>Civil engineering design inputs</dc:subject>
  <dc:creator>Cedar Creek Civil Project Team</dc:creator>
  <cp:keywords>civil engineering, roadway, pavement, drainage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