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Cedar Creek Industrial Access Road</w:t>
      </w:r>
    </w:p>
    <w:p>
      <w:pPr>
        <w:jc w:val="center"/>
      </w:pPr>
      <w:r>
        <w:rPr>
          <w:b/>
        </w:rPr>
        <w:t>Traffic, Drainage, ADA and Field Observation Report</w:t>
      </w:r>
    </w:p>
    <w:p>
      <w:pPr>
        <w:jc w:val="center"/>
      </w:pPr>
      <w:r>
        <w:t>Field reference: CC-FLD-2026-06 Rev B | Inspection dates: 16-18 May 2026 | Prepared for 60% design reconciliation</w:t>
      </w:r>
    </w:p>
    <w:p>
      <w:pPr>
        <w:pStyle w:val="Heading1"/>
      </w:pPr>
      <w:r>
        <w:t>1. Purpose</w:t>
      </w:r>
    </w:p>
    <w:p>
      <w:r>
        <w:t>This report records field observations, traffic count reconciliation, drainage observations, bus-stop pad observations and unresolved field items for the Cedar Creek Industrial Access Road design package. It is intended to be used with the signed authority hierarchy and the project constraint workbook.</w:t>
      </w:r>
    </w:p>
    <w:p>
      <w:pPr>
        <w:pStyle w:val="Heading1"/>
      </w:pPr>
      <w:r>
        <w:t>2. Traffic count reconciliation notes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shd w:fill="D9EAF7"/>
            <w:vAlign w:val="center"/>
          </w:tcPr>
          <w:p>
            <w:r>
              <w:rPr>
                <w:b/>
              </w:rPr>
              <w:t>Record</w:t>
            </w:r>
          </w:p>
        </w:tc>
        <w:tc>
          <w:tcPr>
            <w:tcW w:type="dxa" w:w="1728"/>
            <w:shd w:fill="D9EAF7"/>
            <w:vAlign w:val="center"/>
          </w:tcPr>
          <w:p>
            <w:r>
              <w:rPr>
                <w:b/>
              </w:rPr>
              <w:t>Status</w:t>
            </w:r>
          </w:p>
        </w:tc>
        <w:tc>
          <w:tcPr>
            <w:tcW w:type="dxa" w:w="3168"/>
            <w:shd w:fill="D9EAF7"/>
            <w:vAlign w:val="center"/>
          </w:tcPr>
          <w:p>
            <w:r>
              <w:rPr>
                <w:b/>
              </w:rPr>
              <w:t>Truck count claim</w:t>
            </w:r>
          </w:p>
        </w:tc>
        <w:tc>
          <w:tcPr>
            <w:tcW w:type="dxa" w:w="4608"/>
            <w:shd w:fill="D9EAF7"/>
            <w:vAlign w:val="center"/>
          </w:tcPr>
          <w:p>
            <w:r>
              <w:rPr>
                <w:b/>
              </w:rPr>
              <w:t>Instruction</w:t>
            </w:r>
          </w:p>
        </w:tc>
      </w:tr>
      <w:tr>
        <w:tc>
          <w:tcPr>
            <w:tcW w:type="dxa" w:w="2304"/>
            <w:vAlign w:val="top"/>
          </w:tcPr>
          <w:p>
            <w:r>
              <w:t>TRA-OLD-2023</w:t>
            </w:r>
          </w:p>
        </w:tc>
        <w:tc>
          <w:tcPr>
            <w:tcW w:type="dxa" w:w="1728"/>
            <w:vAlign w:val="top"/>
          </w:tcPr>
          <w:p>
            <w:r>
              <w:t>Superseded</w:t>
            </w:r>
          </w:p>
        </w:tc>
        <w:tc>
          <w:tcPr>
            <w:tcW w:type="dxa" w:w="3168"/>
            <w:vAlign w:val="top"/>
          </w:tcPr>
          <w:p>
            <w:r>
              <w:t>104 industrial trucks/day from a two-day manual count</w:t>
            </w:r>
          </w:p>
        </w:tc>
        <w:tc>
          <w:tcPr>
            <w:tcW w:type="dxa" w:w="4608"/>
            <w:vAlign w:val="top"/>
          </w:tcPr>
          <w:p>
            <w:r>
              <w:t>Do not use for ESAL design because the industrial tenants changed in 2025.</w:t>
            </w:r>
          </w:p>
        </w:tc>
      </w:tr>
      <w:tr>
        <w:tc>
          <w:tcPr>
            <w:tcW w:type="dxa" w:w="2304"/>
            <w:vAlign w:val="top"/>
          </w:tcPr>
          <w:p>
            <w:r>
              <w:t>TRA-WIM-2026-05</w:t>
            </w:r>
          </w:p>
        </w:tc>
        <w:tc>
          <w:tcPr>
            <w:tcW w:type="dxa" w:w="1728"/>
            <w:vAlign w:val="top"/>
          </w:tcPr>
          <w:p>
            <w:r>
              <w:t>Signed active record</w:t>
            </w:r>
          </w:p>
        </w:tc>
        <w:tc>
          <w:tcPr>
            <w:tcW w:type="dxa" w:w="3168"/>
            <w:vAlign w:val="top"/>
          </w:tcPr>
          <w:p>
            <w:r>
              <w:t>148 industrial trucks/day from four weekday WIM summary after tenant expansion</w:t>
            </w:r>
          </w:p>
        </w:tc>
        <w:tc>
          <w:tcPr>
            <w:tcW w:type="dxa" w:w="4608"/>
            <w:vAlign w:val="top"/>
          </w:tcPr>
          <w:p>
            <w:r>
              <w:t>Use for the 20-year pavement ESAL calculation.</w:t>
            </w:r>
          </w:p>
        </w:tc>
      </w:tr>
      <w:tr>
        <w:tc>
          <w:tcPr>
            <w:tcW w:type="dxa" w:w="2304"/>
            <w:vAlign w:val="top"/>
          </w:tcPr>
          <w:p>
            <w:r>
              <w:t>Operations e-mail 2026-05-21</w:t>
            </w:r>
          </w:p>
        </w:tc>
        <w:tc>
          <w:tcPr>
            <w:tcW w:type="dxa" w:w="1728"/>
            <w:vAlign w:val="top"/>
          </w:tcPr>
          <w:p>
            <w:r>
              <w:t>Context only</w:t>
            </w:r>
          </w:p>
        </w:tc>
        <w:tc>
          <w:tcPr>
            <w:tcW w:type="dxa" w:w="3168"/>
            <w:vAlign w:val="top"/>
          </w:tcPr>
          <w:p>
            <w:r>
              <w:t>190 trucks/day on peak shipping days</w:t>
            </w:r>
          </w:p>
        </w:tc>
        <w:tc>
          <w:tcPr>
            <w:tcW w:type="dxa" w:w="4608"/>
            <w:vAlign w:val="top"/>
          </w:tcPr>
          <w:p>
            <w:r>
              <w:t>Do not use as average daily truck count unless the owner issues a signed traffic update.</w:t>
            </w:r>
          </w:p>
        </w:tc>
      </w:tr>
    </w:tbl>
    <w:p>
      <w:pPr>
        <w:pStyle w:val="Heading1"/>
      </w:pPr>
      <w:r>
        <w:t>3. Drainage and culvert field observations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D9EAF7"/>
            <w:vAlign w:val="center"/>
          </w:tcPr>
          <w:p>
            <w:r>
              <w:rPr>
                <w:b/>
              </w:rPr>
              <w:t>Photo / Note</w:t>
            </w:r>
          </w:p>
        </w:tc>
        <w:tc>
          <w:tcPr>
            <w:tcW w:type="dxa" w:w="1872"/>
            <w:shd w:fill="D9EAF7"/>
            <w:vAlign w:val="center"/>
          </w:tcPr>
          <w:p>
            <w:r>
              <w:rPr>
                <w:b/>
              </w:rPr>
              <w:t>Location</w:t>
            </w:r>
          </w:p>
        </w:tc>
        <w:tc>
          <w:tcPr>
            <w:tcW w:type="dxa" w:w="4320"/>
            <w:shd w:fill="D9EAF7"/>
            <w:vAlign w:val="center"/>
          </w:tcPr>
          <w:p>
            <w:r>
              <w:rPr>
                <w:b/>
              </w:rPr>
              <w:t>Observation</w:t>
            </w:r>
          </w:p>
        </w:tc>
        <w:tc>
          <w:tcPr>
            <w:tcW w:type="dxa" w:w="3456"/>
            <w:shd w:fill="D9EAF7"/>
            <w:vAlign w:val="center"/>
          </w:tcPr>
          <w:p>
            <w:r>
              <w:rPr>
                <w:b/>
              </w:rPr>
              <w:t>Engineering use</w:t>
            </w:r>
          </w:p>
        </w:tc>
      </w:tr>
      <w:tr>
        <w:tc>
          <w:tcPr>
            <w:tcW w:type="dxa" w:w="1872"/>
            <w:vAlign w:val="top"/>
          </w:tcPr>
          <w:p>
            <w:r>
              <w:t>Photo P-01</w:t>
            </w:r>
          </w:p>
        </w:tc>
        <w:tc>
          <w:tcPr>
            <w:tcW w:type="dxa" w:w="1872"/>
            <w:vAlign w:val="top"/>
          </w:tcPr>
          <w:p>
            <w:r>
              <w:t>North ditch Sta. 4+90</w:t>
            </w:r>
          </w:p>
        </w:tc>
        <w:tc>
          <w:tcPr>
            <w:tcW w:type="dxa" w:w="4320"/>
            <w:vAlign w:val="top"/>
          </w:tcPr>
          <w:p>
            <w:r>
              <w:t>Ditch was running near top of grassed section after storm; water mark approximately 0.52 m above invert.</w:t>
            </w:r>
          </w:p>
        </w:tc>
        <w:tc>
          <w:tcPr>
            <w:tcW w:type="dxa" w:w="3456"/>
            <w:vAlign w:val="top"/>
          </w:tcPr>
          <w:p>
            <w:r>
              <w:t>Use as qualitative check only; perform HEC-22/Manning capacity calculation.</w:t>
            </w:r>
          </w:p>
        </w:tc>
      </w:tr>
      <w:tr>
        <w:tc>
          <w:tcPr>
            <w:tcW w:type="dxa" w:w="1872"/>
            <w:vAlign w:val="top"/>
          </w:tcPr>
          <w:p>
            <w:r>
              <w:t>Photo P-02</w:t>
            </w:r>
          </w:p>
        </w:tc>
        <w:tc>
          <w:tcPr>
            <w:tcW w:type="dxa" w:w="1872"/>
            <w:vAlign w:val="top"/>
          </w:tcPr>
          <w:p>
            <w:r>
              <w:t>CUL-01 outlet</w:t>
            </w:r>
          </w:p>
        </w:tc>
        <w:tc>
          <w:tcPr>
            <w:tcW w:type="dxa" w:w="4320"/>
            <w:vAlign w:val="top"/>
          </w:tcPr>
          <w:p>
            <w:r>
              <w:t>Debris rack had branches and sediment at the lower third after the event.</w:t>
            </w:r>
          </w:p>
        </w:tc>
        <w:tc>
          <w:tcPr>
            <w:tcW w:type="dxa" w:w="3456"/>
            <w:vAlign w:val="top"/>
          </w:tcPr>
          <w:p>
            <w:r>
              <w:t>Record obstruction/debris inspection as open item before purchase order.</w:t>
            </w:r>
          </w:p>
        </w:tc>
      </w:tr>
      <w:tr>
        <w:tc>
          <w:tcPr>
            <w:tcW w:type="dxa" w:w="1872"/>
            <w:vAlign w:val="top"/>
          </w:tcPr>
          <w:p>
            <w:r>
              <w:t>Photo P-03</w:t>
            </w:r>
          </w:p>
        </w:tc>
        <w:tc>
          <w:tcPr>
            <w:tcW w:type="dxa" w:w="1872"/>
            <w:vAlign w:val="top"/>
          </w:tcPr>
          <w:p>
            <w:r>
              <w:t>Culvert inlet apron</w:t>
            </w:r>
          </w:p>
        </w:tc>
        <w:tc>
          <w:tcPr>
            <w:tcW w:type="dxa" w:w="4320"/>
            <w:vAlign w:val="top"/>
          </w:tcPr>
          <w:p>
            <w:r>
              <w:t>Inlet appears to be concrete pipe, not corrugated metal.</w:t>
            </w:r>
          </w:p>
        </w:tc>
        <w:tc>
          <w:tcPr>
            <w:tcW w:type="dxa" w:w="3456"/>
            <w:vAlign w:val="top"/>
          </w:tcPr>
          <w:p>
            <w:r>
              <w:t>Use Rev F plan geometry for design; field view alone is not the controlling size source.</w:t>
            </w:r>
          </w:p>
        </w:tc>
      </w:tr>
      <w:tr>
        <w:tc>
          <w:tcPr>
            <w:tcW w:type="dxa" w:w="1872"/>
            <w:vAlign w:val="top"/>
          </w:tcPr>
          <w:p>
            <w:r>
              <w:t>Photo P-04</w:t>
            </w:r>
          </w:p>
        </w:tc>
        <w:tc>
          <w:tcPr>
            <w:tcW w:type="dxa" w:w="1872"/>
            <w:vAlign w:val="top"/>
          </w:tcPr>
          <w:p>
            <w:r>
              <w:t>Driveway D-3</w:t>
            </w:r>
          </w:p>
        </w:tc>
        <w:tc>
          <w:tcPr>
            <w:tcW w:type="dxa" w:w="4320"/>
            <w:vAlign w:val="top"/>
          </w:tcPr>
          <w:p>
            <w:r>
              <w:t>Wheel rutting and ponding near the tie-in.</w:t>
            </w:r>
          </w:p>
        </w:tc>
        <w:tc>
          <w:tcPr>
            <w:tcW w:type="dxa" w:w="3456"/>
            <w:vAlign w:val="top"/>
          </w:tcPr>
          <w:p>
            <w:r>
              <w:t>Check grade break and note profile adjustment if Alternative A is retained.</w:t>
            </w:r>
          </w:p>
        </w:tc>
      </w:tr>
    </w:tbl>
    <w:p>
      <w:r>
        <w:t>Conflict FLD-01: a 2023 maintenance form describes CUL-01 as a 750 mm corrugated metal pipe. The field crew could not verify barrel diameter because the outlet was partially obstructed. Use the Revision F roadway plan for geometry and keep outlet debris inspection open.</w:t>
      </w:r>
    </w:p>
    <w:p>
      <w:r>
        <w:t>Conflict FLD-02: a field phone-level note lists the bus pad cross-slope as about 2.7 percent. The survey register provides edge elevations for the pad and should control the ADA calculation after the approved +0.18 m datum correction is applied.</w:t>
      </w:r>
    </w:p>
    <w:p>
      <w:pPr>
        <w:pStyle w:val="Heading1"/>
      </w:pPr>
      <w:r>
        <w:t>4. ADA and pedestrian-access observations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shd w:fill="D9EAF7"/>
            <w:vAlign w:val="center"/>
          </w:tcPr>
          <w:p>
            <w:r>
              <w:rPr>
                <w:b/>
              </w:rPr>
              <w:t>Location</w:t>
            </w:r>
          </w:p>
        </w:tc>
        <w:tc>
          <w:tcPr>
            <w:tcW w:type="dxa" w:w="3168"/>
            <w:shd w:fill="D9EAF7"/>
            <w:vAlign w:val="center"/>
          </w:tcPr>
          <w:p>
            <w:r>
              <w:rPr>
                <w:b/>
              </w:rPr>
              <w:t>Observation</w:t>
            </w:r>
          </w:p>
        </w:tc>
        <w:tc>
          <w:tcPr>
            <w:tcW w:type="dxa" w:w="3600"/>
            <w:shd w:fill="D9EAF7"/>
            <w:vAlign w:val="center"/>
          </w:tcPr>
          <w:p>
            <w:r>
              <w:rPr>
                <w:b/>
              </w:rPr>
              <w:t>Conflict / missing information</w:t>
            </w:r>
          </w:p>
        </w:tc>
        <w:tc>
          <w:tcPr>
            <w:tcW w:type="dxa" w:w="3168"/>
            <w:shd w:fill="D9EAF7"/>
            <w:vAlign w:val="center"/>
          </w:tcPr>
          <w:p>
            <w:r>
              <w:rPr>
                <w:b/>
              </w:rPr>
              <w:t>Required handling</w:t>
            </w:r>
          </w:p>
        </w:tc>
      </w:tr>
      <w:tr>
        <w:tc>
          <w:tcPr>
            <w:tcW w:type="dxa" w:w="2304"/>
            <w:vAlign w:val="top"/>
          </w:tcPr>
          <w:p>
            <w:r>
              <w:t>Bus stop pad near Sta. 2+15</w:t>
            </w:r>
          </w:p>
        </w:tc>
        <w:tc>
          <w:tcPr>
            <w:tcW w:type="dxa" w:w="3168"/>
            <w:vAlign w:val="top"/>
          </w:tcPr>
          <w:p>
            <w:r>
              <w:t>Concrete pad visually drains toward curb.</w:t>
            </w:r>
          </w:p>
        </w:tc>
        <w:tc>
          <w:tcPr>
            <w:tcW w:type="dxa" w:w="3600"/>
            <w:vAlign w:val="top"/>
          </w:tcPr>
          <w:p>
            <w:r>
              <w:t>Phone-level cross-slope note reads 2.7 percent, but corrected survey edges indicate approximately 1.0 percent.</w:t>
            </w:r>
          </w:p>
        </w:tc>
        <w:tc>
          <w:tcPr>
            <w:tcW w:type="dxa" w:w="3168"/>
            <w:vAlign w:val="top"/>
          </w:tcPr>
          <w:p>
            <w:r>
              <w:t>Calculate cross-slope from corrected survey elevations and compare to 1:48 / 2.0 percent limit.</w:t>
            </w:r>
          </w:p>
        </w:tc>
      </w:tr>
      <w:tr>
        <w:tc>
          <w:tcPr>
            <w:tcW w:type="dxa" w:w="2304"/>
            <w:vAlign w:val="top"/>
          </w:tcPr>
          <w:p>
            <w:r>
              <w:t>North sidewalk tie-in</w:t>
            </w:r>
          </w:p>
        </w:tc>
        <w:tc>
          <w:tcPr>
            <w:tcW w:type="dxa" w:w="3168"/>
            <w:vAlign w:val="top"/>
          </w:tcPr>
          <w:p>
            <w:r>
              <w:t>No tactile panel was installed at temporary crossing.</w:t>
            </w:r>
          </w:p>
        </w:tc>
        <w:tc>
          <w:tcPr>
            <w:tcW w:type="dxa" w:w="3600"/>
            <w:vAlign w:val="top"/>
          </w:tcPr>
          <w:p>
            <w:r>
              <w:t>Final detectable-warning panel layout not supplied.</w:t>
            </w:r>
          </w:p>
        </w:tc>
        <w:tc>
          <w:tcPr>
            <w:tcW w:type="dxa" w:w="3168"/>
            <w:vAlign w:val="top"/>
          </w:tcPr>
          <w:p>
            <w:r>
              <w:t>Record as open item; do not use it to reject roadway alternative unless mandatory constraint says it blocks 60%.</w:t>
            </w:r>
          </w:p>
        </w:tc>
      </w:tr>
    </w:tbl>
    <w:p>
      <w:pPr>
        <w:pStyle w:val="Heading1"/>
      </w:pPr>
      <w:r>
        <w:t>5. Open field items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shd w:fill="D9EAF7"/>
            <w:vAlign w:val="center"/>
          </w:tcPr>
          <w:p>
            <w:r>
              <w:rPr>
                <w:b/>
              </w:rPr>
              <w:t>Item</w:t>
            </w:r>
          </w:p>
        </w:tc>
        <w:tc>
          <w:tcPr>
            <w:tcW w:type="dxa" w:w="5472"/>
            <w:shd w:fill="D9EAF7"/>
            <w:vAlign w:val="center"/>
          </w:tcPr>
          <w:p>
            <w:r>
              <w:rPr>
                <w:b/>
              </w:rPr>
              <w:t>Description</w:t>
            </w:r>
          </w:p>
        </w:tc>
        <w:tc>
          <w:tcPr>
            <w:tcW w:type="dxa" w:w="2592"/>
            <w:shd w:fill="D9EAF7"/>
            <w:vAlign w:val="center"/>
          </w:tcPr>
          <w:p>
            <w:r>
              <w:rPr>
                <w:b/>
              </w:rPr>
              <w:t>Affected alternatives</w:t>
            </w:r>
          </w:p>
        </w:tc>
        <w:tc>
          <w:tcPr>
            <w:tcW w:type="dxa" w:w="2592"/>
            <w:shd w:fill="D9EAF7"/>
            <w:vAlign w:val="center"/>
          </w:tcPr>
          <w:p>
            <w:r>
              <w:rPr>
                <w:b/>
              </w:rPr>
              <w:t>Gate</w:t>
            </w:r>
          </w:p>
        </w:tc>
      </w:tr>
      <w:tr>
        <w:tc>
          <w:tcPr>
            <w:tcW w:type="dxa" w:w="1728"/>
            <w:vAlign w:val="top"/>
          </w:tcPr>
          <w:p>
            <w:r>
              <w:t>OI-FLD-01</w:t>
            </w:r>
          </w:p>
        </w:tc>
        <w:tc>
          <w:tcPr>
            <w:tcW w:type="dxa" w:w="5472"/>
            <w:vAlign w:val="top"/>
          </w:tcPr>
          <w:p>
            <w:r>
              <w:t>CUL-01 outlet debris and actual obstruction percentage require follow-up inspection.</w:t>
            </w:r>
          </w:p>
        </w:tc>
        <w:tc>
          <w:tcPr>
            <w:tcW w:type="dxa" w:w="2592"/>
            <w:vAlign w:val="top"/>
          </w:tcPr>
          <w:p>
            <w:r>
              <w:t>A-D</w:t>
            </w:r>
          </w:p>
        </w:tc>
        <w:tc>
          <w:tcPr>
            <w:tcW w:type="dxa" w:w="2592"/>
            <w:vAlign w:val="top"/>
          </w:tcPr>
          <w:p>
            <w:r>
              <w:t>Before purchase order</w:t>
            </w:r>
          </w:p>
        </w:tc>
      </w:tr>
      <w:tr>
        <w:tc>
          <w:tcPr>
            <w:tcW w:type="dxa" w:w="1728"/>
            <w:vAlign w:val="top"/>
          </w:tcPr>
          <w:p>
            <w:r>
              <w:t>OI-FLD-02</w:t>
            </w:r>
          </w:p>
        </w:tc>
        <w:tc>
          <w:tcPr>
            <w:tcW w:type="dxa" w:w="5472"/>
            <w:vAlign w:val="top"/>
          </w:tcPr>
          <w:p>
            <w:r>
              <w:t>Utility potholing near Sta. 6+40 to 7+10 is not complete.</w:t>
            </w:r>
          </w:p>
        </w:tc>
        <w:tc>
          <w:tcPr>
            <w:tcW w:type="dxa" w:w="2592"/>
            <w:vAlign w:val="top"/>
          </w:tcPr>
          <w:p>
            <w:r>
              <w:t>B and D</w:t>
            </w:r>
          </w:p>
        </w:tc>
        <w:tc>
          <w:tcPr>
            <w:tcW w:type="dxa" w:w="2592"/>
            <w:vAlign w:val="top"/>
          </w:tcPr>
          <w:p>
            <w:r>
              <w:t>Before 90% design</w:t>
            </w:r>
          </w:p>
        </w:tc>
      </w:tr>
      <w:tr>
        <w:tc>
          <w:tcPr>
            <w:tcW w:type="dxa" w:w="1728"/>
            <w:vAlign w:val="top"/>
          </w:tcPr>
          <w:p>
            <w:r>
              <w:t>OI-FLD-03</w:t>
            </w:r>
          </w:p>
        </w:tc>
        <w:tc>
          <w:tcPr>
            <w:tcW w:type="dxa" w:w="5472"/>
            <w:vAlign w:val="top"/>
          </w:tcPr>
          <w:p>
            <w:r>
              <w:t>Seasonal groundwater check near Sta. 6+50 remains incomplete.</w:t>
            </w:r>
          </w:p>
        </w:tc>
        <w:tc>
          <w:tcPr>
            <w:tcW w:type="dxa" w:w="2592"/>
            <w:vAlign w:val="top"/>
          </w:tcPr>
          <w:p>
            <w:r>
              <w:t>B and D</w:t>
            </w:r>
          </w:p>
        </w:tc>
        <w:tc>
          <w:tcPr>
            <w:tcW w:type="dxa" w:w="2592"/>
            <w:vAlign w:val="top"/>
          </w:tcPr>
          <w:p>
            <w:r>
              <w:t>Before final PS&amp;E</w:t>
            </w:r>
          </w:p>
        </w:tc>
      </w:tr>
      <w:tr>
        <w:tc>
          <w:tcPr>
            <w:tcW w:type="dxa" w:w="1728"/>
            <w:vAlign w:val="top"/>
          </w:tcPr>
          <w:p>
            <w:r>
              <w:t>OI-FLD-04</w:t>
            </w:r>
          </w:p>
        </w:tc>
        <w:tc>
          <w:tcPr>
            <w:tcW w:type="dxa" w:w="5472"/>
            <w:vAlign w:val="top"/>
          </w:tcPr>
          <w:p>
            <w:r>
              <w:t>Detectable-warning panel layout for the bus stop pad remains to be confirmed.</w:t>
            </w:r>
          </w:p>
        </w:tc>
        <w:tc>
          <w:tcPr>
            <w:tcW w:type="dxa" w:w="2592"/>
            <w:vAlign w:val="top"/>
          </w:tcPr>
          <w:p>
            <w:r>
              <w:t>All alternatives</w:t>
            </w:r>
          </w:p>
        </w:tc>
        <w:tc>
          <w:tcPr>
            <w:tcW w:type="dxa" w:w="2592"/>
            <w:vAlign w:val="top"/>
          </w:tcPr>
          <w:p>
            <w:r>
              <w:t>Before final design</w:t>
            </w:r>
          </w:p>
        </w:tc>
      </w:tr>
    </w:tbl>
    <w:p>
      <w:pPr>
        <w:pStyle w:val="Heading1"/>
      </w:pPr>
      <w:r>
        <w:t>6. Field report sign-off</w:t>
      </w:r>
    </w:p>
    <w:p>
      <w:r>
        <w:t>Signed by: M. Alvarez, PE, Field Lead</w:t>
      </w:r>
    </w:p>
    <w:p>
      <w:r>
        <w:t>Distribution: Roadway design lead; drainage engineer; geotechnical lead; owner project manager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Cedar Creek Traffic Drainage Field Report</dc:title>
  <dc:subject>Civil engineering design inputs</dc:subject>
  <dc:creator>Cedar Creek Civil Project Team</dc:creator>
  <cp:keywords>civil engineering, roadway, pavement, drainage</cp:keywords>
  <dc:description>generated by python-docx</dc:description>
  <cp:lastModifiedBy/>
  <cp:revision>1</cp:revision>
  <dcterms:created xsi:type="dcterms:W3CDTF">2013-12-23T23:15:00Z</dcterms:created>
  <dcterms:modified xsi:type="dcterms:W3CDTF">2013-12-23T23:15:00Z</dcterms:modified>
  <cp:category/>
</cp:coreProperties>
</file>