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32"/>
        </w:rPr>
        <w:t>NORTHBANK PACKAGING PLANT 2</w:t>
        <w:br/>
        <w:t>PROCESS-WATER BOOSTER STATION</w:t>
        <w:br/>
        <w:t>INCIDENT AND CAVITATION REVIEW</w:t>
      </w:r>
    </w:p>
    <w:p>
      <w:pPr>
        <w:jc w:val="center"/>
      </w:pPr>
      <w:r>
        <w:rPr>
          <w:i/>
          <w:sz w:val="18"/>
        </w:rPr>
        <w:t>Document: INC-2026-0514  |  Revision: 2 SIGNED  |  Issued: 24 May 2026</w:t>
      </w:r>
    </w:p>
    <w:p>
      <w:pPr>
        <w:pStyle w:val="Heading1"/>
      </w:pPr>
      <w:r>
        <w:t>1. Purpose</w:t>
      </w:r>
    </w:p>
    <w:p>
      <w:r>
        <w:t>This review records the 14 May 2026 packaging-hall low-pressure event and defines the engineering basis for the retrofit assessment. It is deliberately not a final design report. Where evidence remains incomplete, the assessment team must record an open item rather than assume a favourable condition.</w:t>
      </w:r>
    </w:p>
    <w:p>
      <w:pPr>
        <w:pStyle w:val="Heading1"/>
      </w:pPr>
      <w:r>
        <w:t>2. Event summary</w:t>
      </w:r>
    </w:p>
    <w:p>
      <w:r>
        <w:t>During a packaging-hall valve-bank opening after a warm CIP return, operators heard a gravel-like noise near the pump suction header and observed elevated vibration. The hall-pressure alarm remained active for approximately one minute. The historian export shows the minimum indicated PT-404 pressure as 3.06 barg and the maximum indicated FT-210 flow as 96 m3/h.</w:t>
      </w:r>
    </w:p>
    <w:p>
      <w:pPr>
        <w:pStyle w:val="ListBullet"/>
      </w:pPr>
      <w:r>
        <w:t>The raw historian values are not the final engineering values. Apply the approved FT-210 scaling correction and PT-404 offset from the calibration workbook.</w:t>
      </w:r>
    </w:p>
    <w:p>
      <w:pPr>
        <w:pStyle w:val="ListBullet"/>
      </w:pPr>
      <w:r>
        <w:t>The event occurred with the source tank close to its low-low level and with water temperature reaching 32.0 degC.</w:t>
      </w:r>
    </w:p>
    <w:p>
      <w:pPr>
        <w:pStyle w:val="ListBullet"/>
      </w:pPr>
      <w:r>
        <w:t>P-101 and P-102 were operating. P-103 was not running.</w:t>
      </w:r>
    </w:p>
    <w:p>
      <w:pPr>
        <w:pStyle w:val="Heading1"/>
      </w:pPr>
      <w:r>
        <w:t>3. Conflicting records that must be reconciled</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tcPr>
          <w:p>
            <w:r>
              <w:t>Topic</w:t>
            </w:r>
          </w:p>
        </w:tc>
        <w:tc>
          <w:tcPr>
            <w:tcW w:type="dxa" w:w="2570"/>
          </w:tcPr>
          <w:p>
            <w:r>
              <w:t>Conflicting claim</w:t>
            </w:r>
          </w:p>
        </w:tc>
        <w:tc>
          <w:tcPr>
            <w:tcW w:type="dxa" w:w="2570"/>
          </w:tcPr>
          <w:p>
            <w:r>
              <w:t>Controlling evidence</w:t>
            </w:r>
          </w:p>
        </w:tc>
        <w:tc>
          <w:tcPr>
            <w:tcW w:type="dxa" w:w="2570"/>
          </w:tcPr>
          <w:p>
            <w:r>
              <w:t>Required treatment</w:t>
            </w:r>
          </w:p>
        </w:tc>
      </w:tr>
      <w:tr>
        <w:tc>
          <w:tcPr>
            <w:tcW w:type="dxa" w:w="2570"/>
          </w:tcPr>
          <w:p>
            <w:r>
              <w:t>Hall minimum pressure</w:t>
            </w:r>
          </w:p>
        </w:tc>
        <w:tc>
          <w:tcPr>
            <w:tcW w:type="dxa" w:w="2570"/>
          </w:tcPr>
          <w:p>
            <w:r>
              <w:t>Legacy bid brief says 2.60 barg is acceptable for short peaks.</w:t>
            </w:r>
          </w:p>
        </w:tc>
        <w:tc>
          <w:tcPr>
            <w:tcW w:type="dxa" w:w="2570"/>
          </w:tcPr>
          <w:p>
            <w:r>
              <w:t>OPS-ACC-2026-04 signed production acceptance requires 3.00 barg corrected at PT-404.</w:t>
            </w:r>
          </w:p>
        </w:tc>
        <w:tc>
          <w:tcPr>
            <w:tcW w:type="dxa" w:w="2570"/>
          </w:tcPr>
          <w:p>
            <w:r>
              <w:t>Use 3.00 barg after applying the PT-404 calibration correction.</w:t>
            </w:r>
          </w:p>
        </w:tc>
      </w:tr>
      <w:tr>
        <w:tc>
          <w:tcPr>
            <w:tcW w:type="dxa" w:w="2570"/>
          </w:tcPr>
          <w:p>
            <w:r>
              <w:t>Water temperature</w:t>
            </w:r>
          </w:p>
        </w:tc>
        <w:tc>
          <w:tcPr>
            <w:tcW w:type="dxa" w:w="2570"/>
          </w:tcPr>
          <w:p>
            <w:r>
              <w:t>Legacy hydraulic note uses 20 degC.</w:t>
            </w:r>
          </w:p>
        </w:tc>
        <w:tc>
          <w:tcPr>
            <w:tcW w:type="dxa" w:w="2570"/>
          </w:tcPr>
          <w:p>
            <w:r>
              <w:t>Warm CIP return and signed incident review document 32.0 degC during the governing event.</w:t>
            </w:r>
          </w:p>
        </w:tc>
        <w:tc>
          <w:tcPr>
            <w:tcW w:type="dxa" w:w="2570"/>
          </w:tcPr>
          <w:p>
            <w:r>
              <w:t>Use 32.0 degC for vapour-pressure lookup and NPSH.</w:t>
            </w:r>
          </w:p>
        </w:tc>
      </w:tr>
      <w:tr>
        <w:tc>
          <w:tcPr>
            <w:tcW w:type="dxa" w:w="2570"/>
          </w:tcPr>
          <w:p>
            <w:r>
              <w:t>Installed pipe sizes</w:t>
            </w:r>
          </w:p>
        </w:tc>
        <w:tc>
          <w:tcPr>
            <w:tcW w:type="dxa" w:w="2570"/>
          </w:tcPr>
          <w:p>
            <w:r>
              <w:t>Operators still refer to the tender DN200 trunk and DN150 branch.</w:t>
            </w:r>
          </w:p>
        </w:tc>
        <w:tc>
          <w:tcPr>
            <w:tcW w:type="dxa" w:w="2570"/>
          </w:tcPr>
          <w:p>
            <w:r>
              <w:t>As-built piping drawing Rev 4 records DN150 trunk and DN125 packaging branch.</w:t>
            </w:r>
          </w:p>
        </w:tc>
        <w:tc>
          <w:tcPr>
            <w:tcW w:type="dxa" w:w="2570"/>
          </w:tcPr>
          <w:p>
            <w:r>
              <w:t>Use Rev 4 sizes, lengths, elevations, and K values.</w:t>
            </w:r>
          </w:p>
        </w:tc>
      </w:tr>
      <w:tr>
        <w:tc>
          <w:tcPr>
            <w:tcW w:type="dxa" w:w="2570"/>
          </w:tcPr>
          <w:p>
            <w:r>
              <w:t>P-103 availability</w:t>
            </w:r>
          </w:p>
        </w:tc>
        <w:tc>
          <w:tcPr>
            <w:tcW w:type="dxa" w:w="2570"/>
          </w:tcPr>
          <w:p>
            <w:r>
              <w:t>Unsigned draft maintenance note says P-103 may return to service.</w:t>
            </w:r>
          </w:p>
        </w:tc>
        <w:tc>
          <w:tcPr>
            <w:tcW w:type="dxa" w:w="2570"/>
          </w:tcPr>
          <w:p>
            <w:r>
              <w:t>Active LOTO-26-0518-P103 and open work order WO-26-0520-P103 remain in force.</w:t>
            </w:r>
          </w:p>
        </w:tc>
        <w:tc>
          <w:tcPr>
            <w:tcW w:type="dxa" w:w="2570"/>
          </w:tcPr>
          <w:p>
            <w:r>
              <w:t>Treat P-103 as unavailable unless signed release evidence is supplied.</w:t>
            </w:r>
          </w:p>
        </w:tc>
      </w:tr>
      <w:tr>
        <w:tc>
          <w:tcPr>
            <w:tcW w:type="dxa" w:w="2570"/>
          </w:tcPr>
          <w:p>
            <w:r>
              <w:t>Suction strainer condition</w:t>
            </w:r>
          </w:p>
        </w:tc>
        <w:tc>
          <w:tcPr>
            <w:tcW w:type="dxa" w:w="2570"/>
          </w:tcPr>
          <w:p>
            <w:r>
              <w:t>No permanent differential-pressure transmitter is installed.</w:t>
            </w:r>
          </w:p>
        </w:tc>
        <w:tc>
          <w:tcPr>
            <w:tcW w:type="dxa" w:w="2570"/>
          </w:tcPr>
          <w:p>
            <w:r>
              <w:t>Post-event inspection found debris loading; as-built drawing provides an as-found event K basis.</w:t>
            </w:r>
          </w:p>
        </w:tc>
        <w:tc>
          <w:tcPr>
            <w:tcW w:type="dxa" w:w="2570"/>
          </w:tcPr>
          <w:p>
            <w:r>
              <w:t>Use as-found loss basis for event reconstruction and log clean-strainer verification as open.</w:t>
            </w:r>
          </w:p>
        </w:tc>
      </w:tr>
    </w:tbl>
    <w:p>
      <w:pPr>
        <w:pStyle w:val="Heading1"/>
      </w:pPr>
      <w:r>
        <w:t>4. Required NPSH assessment</w:t>
      </w:r>
    </w:p>
    <w:p>
      <w:r>
        <w:t>The retrofit review must calculate NPSHa for the governing event using the site elevation of 165 m above mean sea level, the source-tank low-low surface of -2.20 m relative to pump centreline, the as-found suction-line loss basis, and the saturation vapour pressure of water at 32.0 degC. Atmospheric pressure and water vapour pressure are not supplied as fixed values in this package. Obtain them from the official public references listed in the approval matrix and record the calculation and citations.</w:t>
      </w:r>
    </w:p>
    <w:p>
      <w:r>
        <w:t>Compare NPSHa with the approved Revision C NPSHr curve for each option. The plant standard requires NPSHa to be at least NPSHr plus 1.00 m. The observed noise is consistent with cavitation risk, but the calculation must determine whether each option satisfies the required margin.</w:t>
      </w:r>
    </w:p>
    <w:p>
      <w:pPr>
        <w:pStyle w:val="Heading1"/>
      </w:pPr>
      <w:r>
        <w:t>5. Storage and pressure stability</w:t>
      </w:r>
    </w:p>
    <w:p>
      <w:r>
        <w:t>The packaging-hall event basis is a 60 m3/h temporary flow imbalance lasting 90 seconds. The controls basis requires a hydropneumatic vessel precharge of 2.80 barg, cut-in pressure of 3.00 barg, and cut-out pressure of 3.80 barg. Calculate usable drawdown and required gross vessel volume. Do not accept a quoted option only because its vessel size appears large; screen pressure, NPSH, equipment availability, controls, budget, and evidence gaps separately.</w:t>
      </w:r>
    </w:p>
    <w:p>
      <w:pPr>
        <w:pStyle w:val="Heading1"/>
      </w:pPr>
      <w:r>
        <w:t>6. Incomplete evidence and pre-purchase items</w:t>
      </w:r>
    </w:p>
    <w:p>
      <w:pPr>
        <w:pStyle w:val="ListBullet"/>
      </w:pPr>
      <w:r>
        <w:t>The clean-strainer differential pressure has not been verified after cleaning or replacement.</w:t>
      </w:r>
    </w:p>
    <w:p>
      <w:pPr>
        <w:pStyle w:val="ListBullet"/>
      </w:pPr>
      <w:r>
        <w:t>Option B lacks final skid reaction loads, a completed 90 kW VFD harmonic / feeder study, and a PLC-sequence compatibility test plan.</w:t>
      </w:r>
    </w:p>
    <w:p>
      <w:pPr>
        <w:pStyle w:val="ListBullet"/>
      </w:pPr>
      <w:r>
        <w:t>Option C lacks signed P-103 lockout release and completed repair evidence.</w:t>
      </w:r>
    </w:p>
    <w:p>
      <w:pPr>
        <w:pStyle w:val="ListBullet"/>
      </w:pPr>
      <w:r>
        <w:t>Option D lacks a general-arrangement drawing and site-access review.</w:t>
      </w:r>
    </w:p>
    <w:p>
      <w:pPr>
        <w:pStyle w:val="ListBullet"/>
      </w:pPr>
      <w:r>
        <w:t>Option A does not include a certified vessel acceptance / drawdown calculation.</w:t>
      </w:r>
    </w:p>
    <w:p>
      <w:r>
        <w:t>These are evidence gaps. They must appear in the open-item deliverable. They must not be silently converted into favourable assumptions.</w:t>
      </w:r>
    </w:p>
    <w:p>
      <w:pPr>
        <w:pStyle w:val="Heading1"/>
      </w:pPr>
      <w:r>
        <w:t>7. Approval statement</w:t>
      </w:r>
    </w:p>
    <w:p>
      <w:r>
        <w:t>For the retrofit assessment, this signed incident review controls the governing temperature and observed event basis. Use the separate source-authority matrix for all other conflicts and missing-information rules.</w:t>
      </w:r>
    </w:p>
    <w:p>
      <w:r>
        <w:rPr>
          <w:b/>
        </w:rPr>
        <w:t xml:space="preserve">Signed: </w:t>
      </w:r>
      <w:r>
        <w:t>A. Mercer, Plant Engineering Manager</w:t>
        <w:br/>
      </w:r>
      <w:r>
        <w:rPr>
          <w:b/>
        </w:rPr>
        <w:t xml:space="preserve">Reviewed: </w:t>
      </w:r>
      <w:r>
        <w:t>L. Shah, Reliability Engineering Lead</w:t>
      </w:r>
    </w:p>
    <w:sectPr w:rsidR="00FC693F" w:rsidRPr="0006063C" w:rsidSect="00034616">
      <w:pgSz w:w="12240" w:h="15840"/>
      <w:pgMar w:top="792"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